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F6" w:rsidRPr="00D44FF6" w:rsidRDefault="00D44FF6" w:rsidP="00D44FF6">
      <w:pPr>
        <w:spacing w:after="0" w:line="510" w:lineRule="atLeast"/>
        <w:textAlignment w:val="baseline"/>
        <w:outlineLvl w:val="0"/>
        <w:rPr>
          <w:rFonts w:ascii="Helvetica" w:eastAsia="Times New Roman" w:hAnsi="Helvetica" w:cs="Helvetica"/>
          <w:color w:val="000000"/>
          <w:kern w:val="36"/>
          <w:sz w:val="45"/>
          <w:szCs w:val="45"/>
        </w:rPr>
      </w:pPr>
      <w:r w:rsidRPr="00D44FF6">
        <w:rPr>
          <w:rFonts w:ascii="Helvetica" w:eastAsia="Times New Roman" w:hAnsi="Helvetica" w:cs="Helvetica"/>
          <w:color w:val="000000"/>
          <w:kern w:val="36"/>
          <w:sz w:val="45"/>
          <w:szCs w:val="45"/>
        </w:rPr>
        <w:t>State Provisions for Property Reassessment</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bdr w:val="none" w:sz="0" w:space="0" w:color="auto" w:frame="1"/>
        </w:rPr>
        <w:t>April 29, 2010</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By </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hyperlink r:id="rId5" w:history="1">
        <w:r w:rsidRPr="00D44FF6">
          <w:rPr>
            <w:rFonts w:ascii="Helvetica" w:eastAsia="Times New Roman" w:hAnsi="Helvetica" w:cs="Helvetica"/>
            <w:color w:val="000000"/>
            <w:sz w:val="18"/>
            <w:szCs w:val="18"/>
            <w:bdr w:val="none" w:sz="0" w:space="0" w:color="auto" w:frame="1"/>
          </w:rPr>
          <w:t xml:space="preserve">Justin </w:t>
        </w:r>
        <w:proofErr w:type="spellStart"/>
        <w:r w:rsidRPr="00D44FF6">
          <w:rPr>
            <w:rFonts w:ascii="Helvetica" w:eastAsia="Times New Roman" w:hAnsi="Helvetica" w:cs="Helvetica"/>
            <w:color w:val="000000"/>
            <w:sz w:val="18"/>
            <w:szCs w:val="18"/>
            <w:bdr w:val="none" w:sz="0" w:space="0" w:color="auto" w:frame="1"/>
          </w:rPr>
          <w:t>Higginbottom</w:t>
        </w:r>
        <w:proofErr w:type="spellEnd"/>
      </w:hyperlink>
      <w:r w:rsidRPr="00D44FF6">
        <w:rPr>
          <w:rFonts w:ascii="Helvetica" w:eastAsia="Times New Roman" w:hAnsi="Helvetica" w:cs="Helvetica"/>
          <w:color w:val="000000"/>
          <w:sz w:val="18"/>
          <w:szCs w:val="18"/>
        </w:rPr>
        <w:t xml:space="preserve"> </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Pr>
          <w:rFonts w:ascii="Helvetica" w:eastAsia="Times New Roman" w:hAnsi="Helvetica" w:cs="Helvetica"/>
          <w:noProof/>
          <w:color w:val="000000"/>
          <w:sz w:val="18"/>
          <w:szCs w:val="18"/>
          <w:bdr w:val="none" w:sz="0" w:space="0" w:color="auto" w:frame="1"/>
        </w:rPr>
        <w:drawing>
          <wp:inline distT="0" distB="0" distL="0" distR="0">
            <wp:extent cx="152400" cy="152400"/>
            <wp:effectExtent l="0" t="0" r="0" b="0"/>
            <wp:docPr id="1" name="Picture 1" descr="http://taxfoundation.org/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xfoundation.org/modules/file/icons/application-pd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ff223.pdf" w:history="1">
        <w:r w:rsidRPr="00D44FF6">
          <w:rPr>
            <w:rFonts w:ascii="Helvetica" w:eastAsia="Times New Roman" w:hAnsi="Helvetica" w:cs="Helvetica"/>
            <w:color w:val="FFFFFF"/>
            <w:sz w:val="17"/>
            <w:szCs w:val="17"/>
            <w:bdr w:val="none" w:sz="0" w:space="0" w:color="auto" w:frame="1"/>
            <w:shd w:val="clear" w:color="auto" w:fill="A82222"/>
          </w:rPr>
          <w:t>Fiscal Fact No. 223</w:t>
        </w:r>
      </w:hyperlink>
    </w:p>
    <w:p w:rsidR="00D44FF6" w:rsidRDefault="00D44FF6" w:rsidP="00D44FF6">
      <w:pPr>
        <w:spacing w:after="0" w:line="300" w:lineRule="atLeast"/>
        <w:textAlignment w:val="baseline"/>
        <w:rPr>
          <w:rFonts w:ascii="Helvetica" w:eastAsia="Times New Roman" w:hAnsi="Helvetica" w:cs="Helvetica"/>
          <w:b/>
          <w:bCs/>
          <w:color w:val="000000"/>
          <w:sz w:val="18"/>
          <w:szCs w:val="18"/>
          <w:bdr w:val="none" w:sz="0" w:space="0" w:color="auto" w:frame="1"/>
        </w:rPr>
      </w:pPr>
      <w:r w:rsidRPr="00D44FF6">
        <w:rPr>
          <w:rFonts w:ascii="Helvetica" w:eastAsia="Times New Roman" w:hAnsi="Helvetica" w:cs="Helvetica"/>
          <w:b/>
          <w:bCs/>
          <w:color w:val="000000"/>
          <w:sz w:val="18"/>
          <w:szCs w:val="18"/>
          <w:bdr w:val="none" w:sz="0" w:space="0" w:color="auto" w:frame="1"/>
        </w:rPr>
        <w:t>Fiscal Fact No. 223</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hyperlink r:id="rId8" w:history="1">
        <w:r w:rsidRPr="0075348D">
          <w:rPr>
            <w:rStyle w:val="Hyperlink"/>
            <w:rFonts w:ascii="Helvetica" w:eastAsia="Times New Roman" w:hAnsi="Helvetica" w:cs="Helvetica"/>
            <w:sz w:val="18"/>
            <w:szCs w:val="18"/>
            <w:bdr w:val="none" w:sz="0" w:space="0" w:color="auto"/>
          </w:rPr>
          <w:t>http://taxfoundation.org/article/state-provisions-property-reassessment</w:t>
        </w:r>
      </w:hyperlink>
      <w:r>
        <w:rPr>
          <w:rFonts w:ascii="Helvetica" w:eastAsia="Times New Roman" w:hAnsi="Helvetica" w:cs="Helvetica"/>
          <w:color w:val="000000"/>
          <w:sz w:val="18"/>
          <w:szCs w:val="18"/>
        </w:rPr>
        <w:t xml:space="preserve"> </w:t>
      </w:r>
    </w:p>
    <w:p w:rsidR="00D44FF6" w:rsidRDefault="00D44FF6" w:rsidP="00D44FF6">
      <w:pPr>
        <w:spacing w:after="0" w:line="300" w:lineRule="atLeast"/>
        <w:textAlignment w:val="baseline"/>
        <w:rPr>
          <w:rFonts w:ascii="Helvetica" w:eastAsia="Times New Roman" w:hAnsi="Helvetica" w:cs="Helvetica"/>
          <w:color w:val="000000"/>
          <w:sz w:val="18"/>
          <w:szCs w:val="18"/>
        </w:rPr>
      </w:pP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bookmarkStart w:id="0" w:name="_GoBack"/>
      <w:bookmarkEnd w:id="0"/>
      <w:r w:rsidRPr="00D44FF6">
        <w:rPr>
          <w:rFonts w:ascii="Helvetica" w:eastAsia="Times New Roman" w:hAnsi="Helvetica" w:cs="Helvetica"/>
          <w:color w:val="000000"/>
          <w:sz w:val="18"/>
          <w:szCs w:val="18"/>
        </w:rPr>
        <w:t>Property taxes represent the lion's share of local government tax revenue, with local governments raising nearly $400 billion per year from this source to fund services. Property taxes are a type of ad valorem tax, calculated as a percentage of the assessed value of the taxed property. Generally an assessment of the property is made by determining how much similar property can be sold for on the market at that time, with some states discounting the market value by a certain percentage.</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 xml:space="preserve">But property values—such as home prices—are not static. Over time the market value of property will change, and not in a uniform pattern. That is, even in the same county, some property will appreciate rapidly while values elsewhere may stagnate or even drop. These variations in market value necessitate regular </w:t>
      </w:r>
      <w:r w:rsidRPr="00D44FF6">
        <w:rPr>
          <w:rFonts w:ascii="Helvetica" w:eastAsia="Times New Roman" w:hAnsi="Helvetica" w:cs="Helvetica"/>
          <w:i/>
          <w:iCs/>
          <w:color w:val="000000"/>
          <w:sz w:val="18"/>
          <w:szCs w:val="18"/>
          <w:bdr w:val="none" w:sz="0" w:space="0" w:color="auto" w:frame="1"/>
        </w:rPr>
        <w:t>reassessment</w:t>
      </w:r>
      <w:r w:rsidRPr="00D44FF6">
        <w:rPr>
          <w:rFonts w:ascii="Helvetica" w:eastAsia="Times New Roman" w:hAnsi="Helvetica" w:cs="Helvetica"/>
          <w:color w:val="000000"/>
          <w:sz w:val="18"/>
          <w:szCs w:val="18"/>
        </w:rPr>
        <w:t xml:space="preserve"> of the property in order to levy an equitable property tax. Usually assessors hired by local governments do the work.</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Infrequent reassessments can result in significant over- or underpayment of property taxes. If one's property has decreased dramatically in value—which has been the case for many American homeowners since 2006—a property tax using the old higher value for the property would not be correct. Of course, governments have the choice to increase property tax rates as values decrease in order to maintain or increase revenue. Conversely, in good times, many governments keep property tax rates constant or cut tax rates as property values rise.</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The combination of infrequent reassessment with rate increases shifts the property tax burden away from those whose property has been appreciating onto those whose property values have been declining.</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States have different requirements for how frequently reassessments are conducted. Nine states do not have state provisions for when reassessments take place. Most states follow an annual to five-year schedule. A few states do not require reassessments for up to 10 years.</w:t>
      </w:r>
    </w:p>
    <w:p w:rsidR="00D44FF6" w:rsidRPr="00D44FF6" w:rsidRDefault="00D44FF6" w:rsidP="00D44FF6">
      <w:pPr>
        <w:spacing w:after="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Following is a summary of state statutes, where they exist, of property reassessment schedules:</w:t>
      </w:r>
    </w:p>
    <w:p w:rsidR="00D44FF6" w:rsidRPr="00D44FF6" w:rsidRDefault="00D44FF6" w:rsidP="00D44FF6">
      <w:pPr>
        <w:spacing w:after="150" w:line="300" w:lineRule="atLeast"/>
        <w:textAlignment w:val="baseline"/>
        <w:rPr>
          <w:rFonts w:ascii="Helvetica" w:eastAsia="Times New Roman" w:hAnsi="Helvetica" w:cs="Helvetica"/>
          <w:color w:val="000000"/>
          <w:sz w:val="18"/>
          <w:szCs w:val="18"/>
        </w:rPr>
      </w:pPr>
      <w:r w:rsidRPr="00D44FF6">
        <w:rPr>
          <w:rFonts w:ascii="Helvetica" w:eastAsia="Times New Roman" w:hAnsi="Helvetica" w:cs="Helvetica"/>
          <w:color w:val="000000"/>
          <w:sz w:val="18"/>
          <w:szCs w:val="18"/>
        </w:rPr>
        <w:t>March_April_2010_WebVersion.indd</w:t>
      </w:r>
    </w:p>
    <w:tbl>
      <w:tblPr>
        <w:tblW w:w="9945" w:type="dxa"/>
        <w:tblCellSpacing w:w="0" w:type="dxa"/>
        <w:tblBorders>
          <w:bottom w:val="single" w:sz="12" w:space="0" w:color="183C4F"/>
        </w:tblBorders>
        <w:shd w:val="clear" w:color="auto" w:fill="183C4F"/>
        <w:tblCellMar>
          <w:left w:w="0" w:type="dxa"/>
          <w:right w:w="0" w:type="dxa"/>
        </w:tblCellMar>
        <w:tblLook w:val="04A0" w:firstRow="1" w:lastRow="0" w:firstColumn="1" w:lastColumn="0" w:noHBand="0" w:noVBand="1"/>
      </w:tblPr>
      <w:tblGrid>
        <w:gridCol w:w="1635"/>
        <w:gridCol w:w="4200"/>
        <w:gridCol w:w="15"/>
        <w:gridCol w:w="45"/>
        <w:gridCol w:w="4140"/>
      </w:tblGrid>
      <w:tr w:rsidR="00D44FF6" w:rsidRPr="00D44FF6" w:rsidTr="00D44FF6">
        <w:trPr>
          <w:tblCellSpacing w:w="0" w:type="dxa"/>
        </w:trPr>
        <w:tc>
          <w:tcPr>
            <w:tcW w:w="9945" w:type="dxa"/>
            <w:gridSpan w:val="5"/>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b/>
                <w:bCs/>
                <w:color w:val="000000"/>
                <w:sz w:val="21"/>
                <w:szCs w:val="21"/>
                <w:bdr w:val="none" w:sz="0" w:space="0" w:color="auto" w:frame="1"/>
              </w:rPr>
              <w:t>Table1</w:t>
            </w:r>
            <w:r w:rsidRPr="00D44FF6">
              <w:rPr>
                <w:rFonts w:ascii="Helvetica" w:eastAsia="Times New Roman" w:hAnsi="Helvetica" w:cs="Helvetica"/>
                <w:b/>
                <w:bCs/>
                <w:color w:val="000000"/>
                <w:sz w:val="21"/>
                <w:szCs w:val="21"/>
                <w:bdr w:val="none" w:sz="0" w:space="0" w:color="auto" w:frame="1"/>
              </w:rPr>
              <w:br/>
              <w:t>State Laws Governing Reassessment of Real Estate for Tax Purposes</w:t>
            </w:r>
            <w:r w:rsidRPr="00D44FF6">
              <w:rPr>
                <w:rFonts w:ascii="Helvetica" w:eastAsia="Times New Roman" w:hAnsi="Helvetica" w:cs="Helvetica"/>
                <w:color w:val="000000"/>
                <w:sz w:val="21"/>
                <w:szCs w:val="21"/>
              </w:rPr>
              <w:t xml:space="preserv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b/>
                <w:bCs/>
                <w:color w:val="000000"/>
                <w:sz w:val="21"/>
                <w:szCs w:val="21"/>
                <w:bdr w:val="none" w:sz="0" w:space="0" w:color="auto" w:frame="1"/>
              </w:rPr>
              <w:t>State</w:t>
            </w:r>
            <w:r w:rsidRPr="00D44FF6">
              <w:rPr>
                <w:rFonts w:ascii="Helvetica" w:eastAsia="Times New Roman" w:hAnsi="Helvetica" w:cs="Helvetica"/>
                <w:color w:val="000000"/>
                <w:sz w:val="21"/>
                <w:szCs w:val="21"/>
              </w:rPr>
              <w:t xml:space="preserve">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b/>
                <w:bCs/>
                <w:color w:val="000000"/>
                <w:sz w:val="21"/>
                <w:szCs w:val="21"/>
                <w:bdr w:val="none" w:sz="0" w:space="0" w:color="auto" w:frame="1"/>
              </w:rPr>
              <w:t>Frequency of</w:t>
            </w:r>
            <w:r w:rsidRPr="00D44FF6">
              <w:rPr>
                <w:rFonts w:ascii="Helvetica" w:eastAsia="Times New Roman" w:hAnsi="Helvetica" w:cs="Helvetica"/>
                <w:b/>
                <w:bCs/>
                <w:color w:val="000000"/>
                <w:sz w:val="21"/>
                <w:szCs w:val="21"/>
                <w:bdr w:val="none" w:sz="0" w:space="0" w:color="auto" w:frame="1"/>
              </w:rPr>
              <w:br/>
              <w:t>Reassessment Required</w:t>
            </w:r>
            <w:r w:rsidRPr="00D44FF6">
              <w:rPr>
                <w:rFonts w:ascii="Helvetica" w:eastAsia="Times New Roman" w:hAnsi="Helvetica" w:cs="Helvetica"/>
                <w:color w:val="000000"/>
                <w:sz w:val="21"/>
                <w:szCs w:val="21"/>
              </w:rPr>
              <w:t xml:space="preserve">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b/>
                <w:bCs/>
                <w:color w:val="000000"/>
                <w:sz w:val="21"/>
                <w:szCs w:val="21"/>
                <w:bdr w:val="none" w:sz="0" w:space="0" w:color="auto" w:frame="1"/>
              </w:rPr>
              <w:t>Statute</w:t>
            </w:r>
            <w:r w:rsidRPr="00D44FF6">
              <w:rPr>
                <w:rFonts w:ascii="Helvetica" w:eastAsia="Times New Roman" w:hAnsi="Helvetica" w:cs="Helvetica"/>
                <w:color w:val="000000"/>
                <w:sz w:val="21"/>
                <w:szCs w:val="21"/>
              </w:rPr>
              <w:t xml:space="preserv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Ala.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once every 3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Alabama Appraisal Manual, Ch. 2</w:t>
            </w:r>
            <w:r w:rsidRPr="00D44FF6">
              <w:rPr>
                <w:rFonts w:ascii="Helvetica" w:eastAsia="Times New Roman" w:hAnsi="Helvetica" w:cs="Helvetica"/>
                <w:color w:val="000000"/>
                <w:sz w:val="21"/>
                <w:szCs w:val="21"/>
              </w:rPr>
              <w:br/>
              <w:t xml:space="preserve">(Administration and Organization)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Alaska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AS 29.45.160, AS43.56.090;</w:t>
            </w:r>
            <w:r w:rsidRPr="00D44FF6">
              <w:rPr>
                <w:rFonts w:ascii="Helvetica" w:eastAsia="Times New Roman" w:hAnsi="Helvetica" w:cs="Helvetica"/>
                <w:color w:val="000000"/>
                <w:sz w:val="21"/>
                <w:szCs w:val="21"/>
              </w:rPr>
              <w:br/>
              <w:t xml:space="preserve">AS 29.45.150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Ariz.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42-15101, A.R.S.;</w:t>
            </w:r>
            <w:r w:rsidRPr="00D44FF6">
              <w:rPr>
                <w:rFonts w:ascii="Helvetica" w:eastAsia="Times New Roman" w:hAnsi="Helvetica" w:cs="Helvetica"/>
                <w:color w:val="000000"/>
                <w:sz w:val="21"/>
                <w:szCs w:val="21"/>
              </w:rPr>
              <w:br/>
              <w:t>Sec. 42-13051, A.R.S;</w:t>
            </w:r>
            <w:r w:rsidRPr="00D44FF6">
              <w:rPr>
                <w:rFonts w:ascii="Helvetica" w:eastAsia="Times New Roman" w:hAnsi="Helvetica" w:cs="Helvetica"/>
                <w:color w:val="000000"/>
                <w:sz w:val="21"/>
                <w:szCs w:val="21"/>
              </w:rPr>
              <w:br/>
            </w:r>
            <w:r w:rsidRPr="00D44FF6">
              <w:rPr>
                <w:rFonts w:ascii="Helvetica" w:eastAsia="Times New Roman" w:hAnsi="Helvetica" w:cs="Helvetica"/>
                <w:color w:val="000000"/>
                <w:sz w:val="21"/>
                <w:szCs w:val="21"/>
              </w:rPr>
              <w:lastRenderedPageBreak/>
              <w:t xml:space="preserve">Sec. 42-13052, A.R.S.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lastRenderedPageBreak/>
              <w:t xml:space="preserve">Ark.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3 years (1)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26-26-1902(a) and (b), A.C.A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Calif.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Usually whenever a "change of</w:t>
            </w:r>
            <w:r w:rsidRPr="00D44FF6">
              <w:rPr>
                <w:rFonts w:ascii="Helvetica" w:eastAsia="Times New Roman" w:hAnsi="Helvetica" w:cs="Helvetica"/>
                <w:color w:val="000000"/>
                <w:sz w:val="21"/>
                <w:szCs w:val="21"/>
              </w:rPr>
              <w:br/>
              <w:t>ownership" occurs or new</w:t>
            </w:r>
            <w:r w:rsidRPr="00D44FF6">
              <w:rPr>
                <w:rFonts w:ascii="Helvetica" w:eastAsia="Times New Roman" w:hAnsi="Helvetica" w:cs="Helvetica"/>
                <w:color w:val="000000"/>
                <w:sz w:val="21"/>
                <w:szCs w:val="21"/>
              </w:rPr>
              <w:br/>
              <w:t xml:space="preserve">construction is completed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75.10, Rev. &amp; Tax. Code,</w:t>
            </w:r>
            <w:r w:rsidRPr="00D44FF6">
              <w:rPr>
                <w:rFonts w:ascii="Helvetica" w:eastAsia="Times New Roman" w:hAnsi="Helvetica" w:cs="Helvetica"/>
                <w:color w:val="000000"/>
                <w:sz w:val="21"/>
                <w:szCs w:val="21"/>
              </w:rPr>
              <w:br/>
              <w:t>Reg. 463.500, 18 CCR;</w:t>
            </w:r>
            <w:r w:rsidRPr="00D44FF6">
              <w:rPr>
                <w:rFonts w:ascii="Helvetica" w:eastAsia="Times New Roman" w:hAnsi="Helvetica" w:cs="Helvetica"/>
                <w:color w:val="000000"/>
                <w:sz w:val="21"/>
                <w:szCs w:val="21"/>
              </w:rPr>
              <w:br/>
              <w:t xml:space="preserve">Sec. 62, Rev. &amp; Tax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Colo.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2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39-1-104(10.2), CRS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Conn.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Prescribed schedule. At least every</w:t>
            </w:r>
            <w:r w:rsidRPr="00D44FF6">
              <w:rPr>
                <w:rFonts w:ascii="Helvetica" w:eastAsia="Times New Roman" w:hAnsi="Helvetica" w:cs="Helvetica"/>
                <w:color w:val="000000"/>
                <w:sz w:val="21"/>
                <w:szCs w:val="21"/>
              </w:rPr>
              <w:br/>
              <w:t xml:space="preserve">10 years following reappraisal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Sec.12-62(a) and (b), G.S.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Del.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8317, Tit. 9,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Fla.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193.023(2), F.S.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Ga.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Reg. Sec. 560-11-2.28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Hawaii </w:t>
            </w:r>
          </w:p>
        </w:tc>
        <w:tc>
          <w:tcPr>
            <w:tcW w:w="8340" w:type="dxa"/>
            <w:gridSpan w:val="4"/>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specific requirements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Idaho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IC Sec. 63-314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Ill.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Every 4 years.</w:t>
            </w:r>
            <w:r w:rsidRPr="00D44FF6">
              <w:rPr>
                <w:rFonts w:ascii="Helvetica" w:eastAsia="Times New Roman" w:hAnsi="Helvetica" w:cs="Helvetica"/>
                <w:color w:val="000000"/>
                <w:sz w:val="21"/>
                <w:szCs w:val="21"/>
              </w:rPr>
              <w:br/>
              <w:t xml:space="preserve">Cook County is assessed triennially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35 ILCS 200/9-215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Ind.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IC 6-1.1-4-4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Iowa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Every odd-numbered year except</w:t>
            </w:r>
            <w:r w:rsidRPr="00D44FF6">
              <w:rPr>
                <w:rFonts w:ascii="Helvetica" w:eastAsia="Times New Roman" w:hAnsi="Helvetica" w:cs="Helvetica"/>
                <w:color w:val="000000"/>
                <w:sz w:val="21"/>
                <w:szCs w:val="21"/>
              </w:rPr>
              <w:br/>
              <w:t>for property of public utilities, which</w:t>
            </w:r>
            <w:r w:rsidRPr="00D44FF6">
              <w:rPr>
                <w:rFonts w:ascii="Helvetica" w:eastAsia="Times New Roman" w:hAnsi="Helvetica" w:cs="Helvetica"/>
                <w:color w:val="000000"/>
                <w:sz w:val="21"/>
                <w:szCs w:val="21"/>
              </w:rPr>
              <w:br/>
              <w:t xml:space="preserve">is assessed 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428.4, Code of Iowa;</w:t>
            </w:r>
            <w:r w:rsidRPr="00D44FF6">
              <w:rPr>
                <w:rFonts w:ascii="Helvetica" w:eastAsia="Times New Roman" w:hAnsi="Helvetica" w:cs="Helvetica"/>
                <w:color w:val="000000"/>
                <w:sz w:val="21"/>
                <w:szCs w:val="21"/>
              </w:rPr>
              <w:br/>
              <w:t xml:space="preserve">Sec. 434.1, Code of Iowa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Kans.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Dependent on county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79-1476, K.S.A.,</w:t>
            </w:r>
            <w:r w:rsidRPr="00D44FF6">
              <w:rPr>
                <w:rFonts w:ascii="Helvetica" w:eastAsia="Times New Roman" w:hAnsi="Helvetica" w:cs="Helvetica"/>
                <w:color w:val="000000"/>
                <w:sz w:val="21"/>
                <w:szCs w:val="21"/>
              </w:rPr>
              <w:br/>
              <w:t xml:space="preserve">Sec. 79-1478, K.S.A.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Ky.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132.690, KRS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La.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Real property at least every 4 years.</w:t>
            </w:r>
            <w:r w:rsidRPr="00D44FF6">
              <w:rPr>
                <w:rFonts w:ascii="Helvetica" w:eastAsia="Times New Roman" w:hAnsi="Helvetica" w:cs="Helvetica"/>
                <w:color w:val="000000"/>
                <w:sz w:val="21"/>
                <w:szCs w:val="21"/>
              </w:rPr>
              <w:br/>
              <w:t xml:space="preserve">Annually for personal property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proofErr w:type="gramStart"/>
            <w:r w:rsidRPr="00D44FF6">
              <w:rPr>
                <w:rFonts w:ascii="Helvetica" w:eastAsia="Times New Roman" w:hAnsi="Helvetica" w:cs="Helvetica"/>
                <w:color w:val="000000"/>
                <w:sz w:val="21"/>
                <w:szCs w:val="21"/>
              </w:rPr>
              <w:t>Sec.18(</w:t>
            </w:r>
            <w:proofErr w:type="gramEnd"/>
            <w:r w:rsidRPr="00D44FF6">
              <w:rPr>
                <w:rFonts w:ascii="Helvetica" w:eastAsia="Times New Roman" w:hAnsi="Helvetica" w:cs="Helvetica"/>
                <w:color w:val="000000"/>
                <w:sz w:val="21"/>
                <w:szCs w:val="21"/>
              </w:rPr>
              <w:t>f), Art. VII, 1974 La Const.,</w:t>
            </w:r>
            <w:r w:rsidRPr="00D44FF6">
              <w:rPr>
                <w:rFonts w:ascii="Helvetica" w:eastAsia="Times New Roman" w:hAnsi="Helvetica" w:cs="Helvetica"/>
                <w:color w:val="000000"/>
                <w:sz w:val="21"/>
                <w:szCs w:val="21"/>
              </w:rPr>
              <w:br/>
              <w:t>Reg. 105, LAC, Reg. 121, LAC;</w:t>
            </w:r>
            <w:r w:rsidRPr="00D44FF6">
              <w:rPr>
                <w:rFonts w:ascii="Helvetica" w:eastAsia="Times New Roman" w:hAnsi="Helvetica" w:cs="Helvetica"/>
                <w:color w:val="000000"/>
                <w:sz w:val="21"/>
                <w:szCs w:val="21"/>
              </w:rPr>
              <w:br/>
              <w:t xml:space="preserve">Sec.47:2331, La 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Maine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328, Tit. 36, M.R.S.A.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Md.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3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8-104, Prop. Tax Art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Mass. </w:t>
            </w:r>
          </w:p>
        </w:tc>
        <w:tc>
          <w:tcPr>
            <w:tcW w:w="417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Annually, certified by state</w:t>
            </w:r>
            <w:r w:rsidRPr="00D44FF6">
              <w:rPr>
                <w:rFonts w:ascii="Helvetica" w:eastAsia="Times New Roman" w:hAnsi="Helvetica" w:cs="Helvetica"/>
                <w:color w:val="000000"/>
                <w:sz w:val="21"/>
                <w:szCs w:val="21"/>
              </w:rPr>
              <w:br/>
              <w:t xml:space="preserve">every three years </w:t>
            </w:r>
          </w:p>
        </w:tc>
        <w:tc>
          <w:tcPr>
            <w:tcW w:w="4170" w:type="dxa"/>
            <w:gridSpan w:val="3"/>
            <w:tcBorders>
              <w:top w:val="single" w:sz="6" w:space="0" w:color="FFFFFF"/>
              <w:left w:val="single" w:sz="6" w:space="0" w:color="FFFFFF"/>
              <w:bottom w:val="single" w:sz="6" w:space="0" w:color="FFFFFF"/>
              <w:right w:val="single" w:sz="6" w:space="0" w:color="FFFFFF"/>
            </w:tcBorders>
            <w:shd w:val="clear" w:color="auto" w:fill="E0E0E0"/>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MGL </w:t>
            </w:r>
            <w:proofErr w:type="spellStart"/>
            <w:r w:rsidRPr="00D44FF6">
              <w:rPr>
                <w:rFonts w:ascii="Helvetica" w:eastAsia="Times New Roman" w:hAnsi="Helvetica" w:cs="Helvetica"/>
                <w:color w:val="000000"/>
                <w:sz w:val="21"/>
                <w:szCs w:val="21"/>
              </w:rPr>
              <w:t>ch.</w:t>
            </w:r>
            <w:proofErr w:type="spellEnd"/>
            <w:r w:rsidRPr="00D44FF6">
              <w:rPr>
                <w:rFonts w:ascii="Helvetica" w:eastAsia="Times New Roman" w:hAnsi="Helvetica" w:cs="Helvetica"/>
                <w:color w:val="000000"/>
                <w:sz w:val="21"/>
                <w:szCs w:val="21"/>
              </w:rPr>
              <w:t xml:space="preserve"> 40 § 56, MGL § 2A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Mich. </w:t>
            </w:r>
          </w:p>
        </w:tc>
        <w:tc>
          <w:tcPr>
            <w:tcW w:w="4185" w:type="dxa"/>
            <w:gridSpan w:val="2"/>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55" w:type="dxa"/>
            <w:gridSpan w:val="2"/>
            <w:tcBorders>
              <w:top w:val="single" w:sz="6" w:space="0" w:color="FFFFFF"/>
              <w:left w:val="single" w:sz="6" w:space="0" w:color="FFFFFF"/>
              <w:bottom w:val="single" w:sz="6" w:space="0" w:color="FFFFFF"/>
              <w:right w:val="single" w:sz="6" w:space="0" w:color="FFFFFF"/>
            </w:tcBorders>
            <w:shd w:val="clear" w:color="auto" w:fill="E0E0E0"/>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MCL 211.10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Minn.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273.08, </w:t>
            </w:r>
            <w:proofErr w:type="spellStart"/>
            <w:r w:rsidRPr="00D44FF6">
              <w:rPr>
                <w:rFonts w:ascii="Helvetica" w:eastAsia="Times New Roman" w:hAnsi="Helvetica" w:cs="Helvetica"/>
                <w:color w:val="000000"/>
                <w:sz w:val="21"/>
                <w:szCs w:val="21"/>
              </w:rPr>
              <w:t>Minn</w:t>
            </w:r>
            <w:proofErr w:type="spellEnd"/>
            <w:r w:rsidRPr="00D44FF6">
              <w:rPr>
                <w:rFonts w:ascii="Helvetica" w:eastAsia="Times New Roman" w:hAnsi="Helvetica" w:cs="Helvetica"/>
                <w:color w:val="000000"/>
                <w:sz w:val="21"/>
                <w:szCs w:val="21"/>
              </w:rPr>
              <w:t xml:space="preserve"> Stats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Miss.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Miss Code Ann. Sec. 21-35-29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Mo.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2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137.115, </w:t>
            </w:r>
            <w:proofErr w:type="spellStart"/>
            <w:proofErr w:type="gramStart"/>
            <w:r w:rsidRPr="00D44FF6">
              <w:rPr>
                <w:rFonts w:ascii="Helvetica" w:eastAsia="Times New Roman" w:hAnsi="Helvetica" w:cs="Helvetica"/>
                <w:color w:val="000000"/>
                <w:sz w:val="21"/>
                <w:szCs w:val="21"/>
              </w:rPr>
              <w:t>RSMo</w:t>
            </w:r>
            <w:proofErr w:type="spellEnd"/>
            <w:r w:rsidRPr="00D44FF6">
              <w:rPr>
                <w:rFonts w:ascii="Helvetica" w:eastAsia="Times New Roman" w:hAnsi="Helvetica" w:cs="Helvetica"/>
                <w:color w:val="000000"/>
                <w:sz w:val="21"/>
                <w:szCs w:val="21"/>
              </w:rPr>
              <w:t>.;</w:t>
            </w:r>
            <w:proofErr w:type="gramEnd"/>
            <w:r w:rsidRPr="00D44FF6">
              <w:rPr>
                <w:rFonts w:ascii="Helvetica" w:eastAsia="Times New Roman" w:hAnsi="Helvetica" w:cs="Helvetica"/>
                <w:color w:val="000000"/>
                <w:sz w:val="21"/>
                <w:szCs w:val="21"/>
              </w:rPr>
              <w:t xml:space="preserve"> Sec. 137.115, </w:t>
            </w:r>
            <w:proofErr w:type="spellStart"/>
            <w:r w:rsidRPr="00D44FF6">
              <w:rPr>
                <w:rFonts w:ascii="Helvetica" w:eastAsia="Times New Roman" w:hAnsi="Helvetica" w:cs="Helvetica"/>
                <w:color w:val="000000"/>
                <w:sz w:val="21"/>
                <w:szCs w:val="21"/>
              </w:rPr>
              <w:t>RSMo</w:t>
            </w:r>
            <w:proofErr w:type="spellEnd"/>
            <w:r w:rsidRPr="00D44FF6">
              <w:rPr>
                <w:rFonts w:ascii="Helvetica" w:eastAsia="Times New Roman" w:hAnsi="Helvetica" w:cs="Helvetica"/>
                <w:color w:val="000000"/>
                <w:sz w:val="21"/>
                <w:szCs w:val="21"/>
              </w:rPr>
              <w:t xml:space="preserv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Mont.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 assessment mostly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MCA 15-7-111;ARM 42.20.516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Nebr.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77-1201, R.S., Sec.77-1301, 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Nev.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5 years (4)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NRS 361.260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N.H.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RSA 71-B:16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N.J.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When improvements are made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54:4-23, R.S.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N.M.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2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NM Stat Ann Sec. 7-38-7;</w:t>
            </w:r>
            <w:r w:rsidRPr="00D44FF6">
              <w:rPr>
                <w:rFonts w:ascii="Helvetica" w:eastAsia="Times New Roman" w:hAnsi="Helvetica" w:cs="Helvetica"/>
                <w:color w:val="000000"/>
                <w:sz w:val="21"/>
                <w:szCs w:val="21"/>
              </w:rPr>
              <w:br/>
              <w:t xml:space="preserve">NM Stat Ann Sec. 7-36-16; 3 NMAC6.5.23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N.Y. </w:t>
            </w:r>
          </w:p>
        </w:tc>
        <w:tc>
          <w:tcPr>
            <w:tcW w:w="8340" w:type="dxa"/>
            <w:gridSpan w:val="4"/>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N.C.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(2)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105-286, G.S.; Sec. 105-287, G.S.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N.D.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57-02-11, NDCC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Ohio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once every 6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5713.01, Ohio R.C.</w:t>
            </w:r>
            <w:proofErr w:type="gramStart"/>
            <w:r w:rsidRPr="00D44FF6">
              <w:rPr>
                <w:rFonts w:ascii="Helvetica" w:eastAsia="Times New Roman" w:hAnsi="Helvetica" w:cs="Helvetica"/>
                <w:color w:val="000000"/>
                <w:sz w:val="21"/>
                <w:szCs w:val="21"/>
              </w:rPr>
              <w:t>,</w:t>
            </w:r>
            <w:proofErr w:type="gramEnd"/>
            <w:r w:rsidRPr="00D44FF6">
              <w:rPr>
                <w:rFonts w:ascii="Helvetica" w:eastAsia="Times New Roman" w:hAnsi="Helvetica" w:cs="Helvetica"/>
                <w:color w:val="000000"/>
                <w:sz w:val="21"/>
                <w:szCs w:val="21"/>
              </w:rPr>
              <w:br/>
              <w:t>Rule 5705-302, Ohio Admin. Code;</w:t>
            </w:r>
            <w:r w:rsidRPr="00D44FF6">
              <w:rPr>
                <w:rFonts w:ascii="Helvetica" w:eastAsia="Times New Roman" w:hAnsi="Helvetica" w:cs="Helvetica"/>
                <w:color w:val="000000"/>
                <w:sz w:val="21"/>
                <w:szCs w:val="21"/>
              </w:rPr>
              <w:br/>
              <w:t xml:space="preserve">Sec. 5715.33, Ohio R.C.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Okla.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2820, Tit. 68, ).S.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Ore. </w:t>
            </w:r>
          </w:p>
        </w:tc>
        <w:tc>
          <w:tcPr>
            <w:tcW w:w="8340" w:type="dxa"/>
            <w:gridSpan w:val="4"/>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Pa.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72 P.S. 5341.7, 72 P.S. 5347,</w:t>
            </w:r>
            <w:r w:rsidRPr="00D44FF6">
              <w:rPr>
                <w:rFonts w:ascii="Helvetica" w:eastAsia="Times New Roman" w:hAnsi="Helvetica" w:cs="Helvetica"/>
                <w:color w:val="000000"/>
                <w:sz w:val="21"/>
                <w:szCs w:val="21"/>
              </w:rPr>
              <w:br/>
              <w:t xml:space="preserve">72 P.S. 5354.601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R.I.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10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44-5-11, G.L.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S.C.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12-43-217,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S.D. </w:t>
            </w:r>
          </w:p>
        </w:tc>
        <w:tc>
          <w:tcPr>
            <w:tcW w:w="8340" w:type="dxa"/>
            <w:gridSpan w:val="4"/>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No provision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Tenn.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Every 6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67-5-1601, T.C.A.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Tex.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3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25.18, Tax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Utah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59-2-303.1, Utah Code Ann.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Vt.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(3)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4041a, Tit. 32, V.S.A.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Va.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Every 2 years in cities and</w:t>
            </w:r>
            <w:r w:rsidRPr="00D44FF6">
              <w:rPr>
                <w:rFonts w:ascii="Helvetica" w:eastAsia="Times New Roman" w:hAnsi="Helvetica" w:cs="Helvetica"/>
                <w:color w:val="000000"/>
                <w:sz w:val="21"/>
                <w:szCs w:val="21"/>
              </w:rPr>
              <w:br/>
              <w:t xml:space="preserve">every 4 years in counties (5)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58.1-3250, Code;</w:t>
            </w:r>
            <w:r w:rsidRPr="00D44FF6">
              <w:rPr>
                <w:rFonts w:ascii="Helvetica" w:eastAsia="Times New Roman" w:hAnsi="Helvetica" w:cs="Helvetica"/>
                <w:color w:val="000000"/>
                <w:sz w:val="21"/>
                <w:szCs w:val="21"/>
              </w:rPr>
              <w:br/>
              <w:t xml:space="preserve">Sec. 58.1-3252,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Wash.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RCW 84.41.030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W.Va.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Annually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11-1c-7, Code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Wis.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5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Sec. 70.05(5</w:t>
            </w:r>
            <w:proofErr w:type="gramStart"/>
            <w:r w:rsidRPr="00D44FF6">
              <w:rPr>
                <w:rFonts w:ascii="Helvetica" w:eastAsia="Times New Roman" w:hAnsi="Helvetica" w:cs="Helvetica"/>
                <w:color w:val="000000"/>
                <w:sz w:val="21"/>
                <w:szCs w:val="21"/>
              </w:rPr>
              <w:t>)(</w:t>
            </w:r>
            <w:proofErr w:type="gramEnd"/>
            <w:r w:rsidRPr="00D44FF6">
              <w:rPr>
                <w:rFonts w:ascii="Helvetica" w:eastAsia="Times New Roman" w:hAnsi="Helvetica" w:cs="Helvetica"/>
                <w:color w:val="000000"/>
                <w:sz w:val="21"/>
                <w:szCs w:val="21"/>
              </w:rPr>
              <w:t xml:space="preserve">b), Wis. Stats.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Wyo.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4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Rule Ch.9, Sec. 3, WY DR </w:t>
            </w:r>
          </w:p>
        </w:tc>
      </w:tr>
      <w:tr w:rsidR="00D44FF6" w:rsidRPr="00D44FF6" w:rsidTr="00D44FF6">
        <w:trPr>
          <w:tblCellSpacing w:w="0" w:type="dxa"/>
        </w:trPr>
        <w:tc>
          <w:tcPr>
            <w:tcW w:w="1605"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D.C. </w:t>
            </w:r>
          </w:p>
        </w:tc>
        <w:tc>
          <w:tcPr>
            <w:tcW w:w="4230" w:type="dxa"/>
            <w:gridSpan w:val="3"/>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At least every 3 years </w:t>
            </w:r>
          </w:p>
        </w:tc>
        <w:tc>
          <w:tcPr>
            <w:tcW w:w="4110" w:type="dxa"/>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Sec. 47-820, D.C. Code </w:t>
            </w:r>
          </w:p>
        </w:tc>
      </w:tr>
      <w:tr w:rsidR="00D44FF6" w:rsidRPr="00D44FF6" w:rsidTr="00D44FF6">
        <w:trPr>
          <w:tblCellSpacing w:w="0" w:type="dxa"/>
        </w:trPr>
        <w:tc>
          <w:tcPr>
            <w:tcW w:w="9945" w:type="dxa"/>
            <w:gridSpan w:val="5"/>
            <w:tcBorders>
              <w:top w:val="single" w:sz="6" w:space="0" w:color="FFFFFF"/>
              <w:left w:val="single" w:sz="6" w:space="0" w:color="FFFFFF"/>
              <w:bottom w:val="single" w:sz="6" w:space="0" w:color="FFFFFF"/>
              <w:right w:val="single" w:sz="6" w:space="0" w:color="FFFFFF"/>
            </w:tcBorders>
            <w:shd w:val="clear" w:color="auto" w:fill="E0E0E0"/>
            <w:noWrap/>
            <w:tcMar>
              <w:top w:w="120" w:type="dxa"/>
              <w:left w:w="120" w:type="dxa"/>
              <w:bottom w:w="120" w:type="dxa"/>
              <w:right w:w="120" w:type="dxa"/>
            </w:tcMar>
            <w:vAlign w:val="center"/>
            <w:hideMark/>
          </w:tcPr>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(1) Arkansas counties that completed reappraisal between 2002 and</w:t>
            </w:r>
            <w:r w:rsidRPr="00D44FF6">
              <w:rPr>
                <w:rFonts w:ascii="Helvetica" w:eastAsia="Times New Roman" w:hAnsi="Helvetica" w:cs="Helvetica"/>
                <w:color w:val="000000"/>
                <w:sz w:val="21"/>
                <w:szCs w:val="21"/>
              </w:rPr>
              <w:br/>
              <w:t xml:space="preserve">2004 have a 5-year reappraisal cycle. </w:t>
            </w:r>
          </w:p>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(2) North Carolina counties with population of 75,000 or greater must reassess</w:t>
            </w:r>
            <w:r w:rsidRPr="00D44FF6">
              <w:rPr>
                <w:rFonts w:ascii="Helvetica" w:eastAsia="Times New Roman" w:hAnsi="Helvetica" w:cs="Helvetica"/>
                <w:color w:val="000000"/>
                <w:sz w:val="21"/>
                <w:szCs w:val="21"/>
              </w:rPr>
              <w:br/>
              <w:t>real property within 3 years if the county's sales assessment ratio is less than .85</w:t>
            </w:r>
            <w:r w:rsidRPr="00D44FF6">
              <w:rPr>
                <w:rFonts w:ascii="Helvetica" w:eastAsia="Times New Roman" w:hAnsi="Helvetica" w:cs="Helvetica"/>
                <w:color w:val="000000"/>
                <w:sz w:val="21"/>
                <w:szCs w:val="21"/>
              </w:rPr>
              <w:br/>
              <w:t>or greater than 1.5, or if no change, within 8 years of county's last reassessment.</w:t>
            </w:r>
            <w:r w:rsidRPr="00D44FF6">
              <w:rPr>
                <w:rFonts w:ascii="Helvetica" w:eastAsia="Times New Roman" w:hAnsi="Helvetica" w:cs="Helvetica"/>
                <w:color w:val="000000"/>
                <w:sz w:val="21"/>
                <w:szCs w:val="21"/>
              </w:rPr>
              <w:br/>
              <w:t xml:space="preserve">All other counties: every 8 years. </w:t>
            </w:r>
          </w:p>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(3) In Vermont, state assessors calculate current fair market value for all</w:t>
            </w:r>
            <w:r w:rsidRPr="00D44FF6">
              <w:rPr>
                <w:rFonts w:ascii="Helvetica" w:eastAsia="Times New Roman" w:hAnsi="Helvetica" w:cs="Helvetica"/>
                <w:color w:val="000000"/>
                <w:sz w:val="21"/>
                <w:szCs w:val="21"/>
              </w:rPr>
              <w:br/>
              <w:t>properties each year, whether or not they have been reassessed locally. When</w:t>
            </w:r>
            <w:r w:rsidRPr="00D44FF6">
              <w:rPr>
                <w:rFonts w:ascii="Helvetica" w:eastAsia="Times New Roman" w:hAnsi="Helvetica" w:cs="Helvetica"/>
                <w:color w:val="000000"/>
                <w:sz w:val="21"/>
                <w:szCs w:val="21"/>
              </w:rPr>
              <w:br/>
              <w:t>the aggregate assessment of property in any township is less than 80% of the</w:t>
            </w:r>
            <w:r w:rsidRPr="00D44FF6">
              <w:rPr>
                <w:rFonts w:ascii="Helvetica" w:eastAsia="Times New Roman" w:hAnsi="Helvetica" w:cs="Helvetica"/>
                <w:color w:val="000000"/>
                <w:sz w:val="21"/>
                <w:szCs w:val="21"/>
              </w:rPr>
              <w:br/>
              <w:t xml:space="preserve">state-level "equalized" assessment," the locality must reassess all of its properties. </w:t>
            </w:r>
          </w:p>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(4) All counties are moving to a system of annual reappraisal. </w:t>
            </w:r>
            <w:r w:rsidRPr="00D44FF6">
              <w:rPr>
                <w:rFonts w:ascii="Helvetica" w:eastAsia="Times New Roman" w:hAnsi="Helvetica" w:cs="Helvetica"/>
                <w:color w:val="000000"/>
                <w:sz w:val="21"/>
                <w:szCs w:val="21"/>
              </w:rPr>
              <w:br/>
              <w:t>All counties reappraise land every year and Clark County reappraises</w:t>
            </w:r>
            <w:r w:rsidRPr="00D44FF6">
              <w:rPr>
                <w:rFonts w:ascii="Helvetica" w:eastAsia="Times New Roman" w:hAnsi="Helvetica" w:cs="Helvetica"/>
                <w:color w:val="000000"/>
                <w:sz w:val="21"/>
                <w:szCs w:val="21"/>
              </w:rPr>
              <w:br/>
              <w:t xml:space="preserve">both land and buildings annually. </w:t>
            </w:r>
          </w:p>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(5) Virginia makes an exception for some counties that allows them to have up</w:t>
            </w:r>
            <w:r w:rsidRPr="00D44FF6">
              <w:rPr>
                <w:rFonts w:ascii="Helvetica" w:eastAsia="Times New Roman" w:hAnsi="Helvetica" w:cs="Helvetica"/>
                <w:color w:val="000000"/>
                <w:sz w:val="21"/>
                <w:szCs w:val="21"/>
              </w:rPr>
              <w:br/>
              <w:t>to 6 years between reassessments. (Alleghany, Amelia, Amherst, Appomattox, Bath</w:t>
            </w:r>
            <w:proofErr w:type="gramStart"/>
            <w:r w:rsidRPr="00D44FF6">
              <w:rPr>
                <w:rFonts w:ascii="Helvetica" w:eastAsia="Times New Roman" w:hAnsi="Helvetica" w:cs="Helvetica"/>
                <w:color w:val="000000"/>
                <w:sz w:val="21"/>
                <w:szCs w:val="21"/>
              </w:rPr>
              <w:t>,</w:t>
            </w:r>
            <w:proofErr w:type="gramEnd"/>
            <w:r w:rsidRPr="00D44FF6">
              <w:rPr>
                <w:rFonts w:ascii="Helvetica" w:eastAsia="Times New Roman" w:hAnsi="Helvetica" w:cs="Helvetica"/>
                <w:color w:val="000000"/>
                <w:sz w:val="21"/>
                <w:szCs w:val="21"/>
              </w:rPr>
              <w:br/>
              <w:t xml:space="preserve">Brunswick, and Buchanan County to name a few.) </w:t>
            </w:r>
          </w:p>
          <w:p w:rsidR="00D44FF6" w:rsidRPr="00D44FF6" w:rsidRDefault="00D44FF6" w:rsidP="00D44FF6">
            <w:pPr>
              <w:spacing w:after="0" w:line="240" w:lineRule="atLeast"/>
              <w:textAlignment w:val="baseline"/>
              <w:rPr>
                <w:rFonts w:ascii="Helvetica" w:eastAsia="Times New Roman" w:hAnsi="Helvetica" w:cs="Helvetica"/>
                <w:color w:val="000000"/>
                <w:sz w:val="21"/>
                <w:szCs w:val="21"/>
              </w:rPr>
            </w:pPr>
            <w:r w:rsidRPr="00D44FF6">
              <w:rPr>
                <w:rFonts w:ascii="Helvetica" w:eastAsia="Times New Roman" w:hAnsi="Helvetica" w:cs="Helvetica"/>
                <w:color w:val="000000"/>
                <w:sz w:val="21"/>
                <w:szCs w:val="21"/>
              </w:rPr>
              <w:t xml:space="preserve">Source: Tax Foundation, Commerce Clearing House. </w:t>
            </w:r>
          </w:p>
        </w:tc>
      </w:tr>
    </w:tbl>
    <w:p w:rsidR="00502EEA" w:rsidRDefault="00502EEA"/>
    <w:sectPr w:rsidR="00502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F6"/>
    <w:rsid w:val="00502EEA"/>
    <w:rsid w:val="00D4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FF6"/>
    <w:pPr>
      <w:spacing w:after="0" w:line="510" w:lineRule="atLeast"/>
      <w:textAlignment w:val="baseline"/>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F6"/>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unhideWhenUsed/>
    <w:rsid w:val="00D44FF6"/>
    <w:rPr>
      <w:strike w:val="0"/>
      <w:dstrike w:val="0"/>
      <w:color w:val="000000"/>
      <w:sz w:val="24"/>
      <w:szCs w:val="24"/>
      <w:u w:val="none"/>
      <w:effect w:val="none"/>
      <w:bdr w:val="none" w:sz="0" w:space="0" w:color="auto" w:frame="1"/>
      <w:vertAlign w:val="baseline"/>
    </w:rPr>
  </w:style>
  <w:style w:type="character" w:styleId="Emphasis">
    <w:name w:val="Emphasis"/>
    <w:basedOn w:val="DefaultParagraphFont"/>
    <w:uiPriority w:val="20"/>
    <w:qFormat/>
    <w:rsid w:val="00D44FF6"/>
    <w:rPr>
      <w:i/>
      <w:iCs/>
      <w:sz w:val="24"/>
      <w:szCs w:val="24"/>
      <w:bdr w:val="none" w:sz="0" w:space="0" w:color="auto" w:frame="1"/>
      <w:vertAlign w:val="baseline"/>
    </w:rPr>
  </w:style>
  <w:style w:type="character" w:styleId="Strong">
    <w:name w:val="Strong"/>
    <w:basedOn w:val="DefaultParagraphFont"/>
    <w:uiPriority w:val="22"/>
    <w:qFormat/>
    <w:rsid w:val="00D44FF6"/>
    <w:rPr>
      <w:b/>
      <w:bCs/>
      <w:sz w:val="24"/>
      <w:szCs w:val="24"/>
      <w:bdr w:val="none" w:sz="0" w:space="0" w:color="auto" w:frame="1"/>
      <w:vertAlign w:val="baseline"/>
    </w:rPr>
  </w:style>
  <w:style w:type="paragraph" w:styleId="NormalWeb">
    <w:name w:val="Normal (Web)"/>
    <w:basedOn w:val="Normal"/>
    <w:uiPriority w:val="99"/>
    <w:semiHidden/>
    <w:unhideWhenUsed/>
    <w:rsid w:val="00D44FF6"/>
    <w:pPr>
      <w:spacing w:after="0" w:line="240" w:lineRule="auto"/>
      <w:textAlignment w:val="baseline"/>
    </w:pPr>
    <w:rPr>
      <w:rFonts w:ascii="Times New Roman" w:eastAsia="Times New Roman" w:hAnsi="Times New Roman" w:cs="Times New Roman"/>
      <w:sz w:val="24"/>
      <w:szCs w:val="24"/>
    </w:rPr>
  </w:style>
  <w:style w:type="character" w:customStyle="1" w:styleId="date-display-single9">
    <w:name w:val="date-display-single9"/>
    <w:basedOn w:val="DefaultParagraphFont"/>
    <w:rsid w:val="00D44FF6"/>
    <w:rPr>
      <w:sz w:val="18"/>
      <w:szCs w:val="18"/>
      <w:bdr w:val="none" w:sz="0" w:space="0" w:color="auto" w:frame="1"/>
      <w:vertAlign w:val="baseline"/>
    </w:rPr>
  </w:style>
  <w:style w:type="character" w:customStyle="1" w:styleId="file">
    <w:name w:val="file"/>
    <w:basedOn w:val="DefaultParagraphFont"/>
    <w:rsid w:val="00D44FF6"/>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D4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FF6"/>
    <w:pPr>
      <w:spacing w:after="0" w:line="510" w:lineRule="atLeast"/>
      <w:textAlignment w:val="baseline"/>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F6"/>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unhideWhenUsed/>
    <w:rsid w:val="00D44FF6"/>
    <w:rPr>
      <w:strike w:val="0"/>
      <w:dstrike w:val="0"/>
      <w:color w:val="000000"/>
      <w:sz w:val="24"/>
      <w:szCs w:val="24"/>
      <w:u w:val="none"/>
      <w:effect w:val="none"/>
      <w:bdr w:val="none" w:sz="0" w:space="0" w:color="auto" w:frame="1"/>
      <w:vertAlign w:val="baseline"/>
    </w:rPr>
  </w:style>
  <w:style w:type="character" w:styleId="Emphasis">
    <w:name w:val="Emphasis"/>
    <w:basedOn w:val="DefaultParagraphFont"/>
    <w:uiPriority w:val="20"/>
    <w:qFormat/>
    <w:rsid w:val="00D44FF6"/>
    <w:rPr>
      <w:i/>
      <w:iCs/>
      <w:sz w:val="24"/>
      <w:szCs w:val="24"/>
      <w:bdr w:val="none" w:sz="0" w:space="0" w:color="auto" w:frame="1"/>
      <w:vertAlign w:val="baseline"/>
    </w:rPr>
  </w:style>
  <w:style w:type="character" w:styleId="Strong">
    <w:name w:val="Strong"/>
    <w:basedOn w:val="DefaultParagraphFont"/>
    <w:uiPriority w:val="22"/>
    <w:qFormat/>
    <w:rsid w:val="00D44FF6"/>
    <w:rPr>
      <w:b/>
      <w:bCs/>
      <w:sz w:val="24"/>
      <w:szCs w:val="24"/>
      <w:bdr w:val="none" w:sz="0" w:space="0" w:color="auto" w:frame="1"/>
      <w:vertAlign w:val="baseline"/>
    </w:rPr>
  </w:style>
  <w:style w:type="paragraph" w:styleId="NormalWeb">
    <w:name w:val="Normal (Web)"/>
    <w:basedOn w:val="Normal"/>
    <w:uiPriority w:val="99"/>
    <w:semiHidden/>
    <w:unhideWhenUsed/>
    <w:rsid w:val="00D44FF6"/>
    <w:pPr>
      <w:spacing w:after="0" w:line="240" w:lineRule="auto"/>
      <w:textAlignment w:val="baseline"/>
    </w:pPr>
    <w:rPr>
      <w:rFonts w:ascii="Times New Roman" w:eastAsia="Times New Roman" w:hAnsi="Times New Roman" w:cs="Times New Roman"/>
      <w:sz w:val="24"/>
      <w:szCs w:val="24"/>
    </w:rPr>
  </w:style>
  <w:style w:type="character" w:customStyle="1" w:styleId="date-display-single9">
    <w:name w:val="date-display-single9"/>
    <w:basedOn w:val="DefaultParagraphFont"/>
    <w:rsid w:val="00D44FF6"/>
    <w:rPr>
      <w:sz w:val="18"/>
      <w:szCs w:val="18"/>
      <w:bdr w:val="none" w:sz="0" w:space="0" w:color="auto" w:frame="1"/>
      <w:vertAlign w:val="baseline"/>
    </w:rPr>
  </w:style>
  <w:style w:type="character" w:customStyle="1" w:styleId="file">
    <w:name w:val="file"/>
    <w:basedOn w:val="DefaultParagraphFont"/>
    <w:rsid w:val="00D44FF6"/>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D4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3813">
      <w:bodyDiv w:val="1"/>
      <w:marLeft w:val="0"/>
      <w:marRight w:val="0"/>
      <w:marTop w:val="0"/>
      <w:marBottom w:val="0"/>
      <w:divBdr>
        <w:top w:val="none" w:sz="0" w:space="0" w:color="auto"/>
        <w:left w:val="none" w:sz="0" w:space="0" w:color="auto"/>
        <w:bottom w:val="none" w:sz="0" w:space="0" w:color="auto"/>
        <w:right w:val="none" w:sz="0" w:space="0" w:color="auto"/>
      </w:divBdr>
      <w:divsChild>
        <w:div w:id="1607538215">
          <w:marLeft w:val="0"/>
          <w:marRight w:val="0"/>
          <w:marTop w:val="0"/>
          <w:marBottom w:val="0"/>
          <w:divBdr>
            <w:top w:val="none" w:sz="0" w:space="0" w:color="auto"/>
            <w:left w:val="none" w:sz="0" w:space="0" w:color="auto"/>
            <w:bottom w:val="none" w:sz="0" w:space="0" w:color="auto"/>
            <w:right w:val="none" w:sz="0" w:space="0" w:color="auto"/>
          </w:divBdr>
          <w:divsChild>
            <w:div w:id="1530798298">
              <w:marLeft w:val="0"/>
              <w:marRight w:val="0"/>
              <w:marTop w:val="0"/>
              <w:marBottom w:val="0"/>
              <w:divBdr>
                <w:top w:val="none" w:sz="0" w:space="0" w:color="auto"/>
                <w:left w:val="none" w:sz="0" w:space="0" w:color="auto"/>
                <w:bottom w:val="none" w:sz="0" w:space="0" w:color="auto"/>
                <w:right w:val="none" w:sz="0" w:space="0" w:color="auto"/>
              </w:divBdr>
              <w:divsChild>
                <w:div w:id="1691836115">
                  <w:marLeft w:val="0"/>
                  <w:marRight w:val="0"/>
                  <w:marTop w:val="0"/>
                  <w:marBottom w:val="0"/>
                  <w:divBdr>
                    <w:top w:val="none" w:sz="0" w:space="0" w:color="auto"/>
                    <w:left w:val="none" w:sz="0" w:space="0" w:color="auto"/>
                    <w:bottom w:val="none" w:sz="0" w:space="0" w:color="auto"/>
                    <w:right w:val="none" w:sz="0" w:space="0" w:color="auto"/>
                  </w:divBdr>
                  <w:divsChild>
                    <w:div w:id="266499933">
                      <w:marLeft w:val="0"/>
                      <w:marRight w:val="0"/>
                      <w:marTop w:val="0"/>
                      <w:marBottom w:val="0"/>
                      <w:divBdr>
                        <w:top w:val="none" w:sz="0" w:space="0" w:color="auto"/>
                        <w:left w:val="none" w:sz="0" w:space="0" w:color="auto"/>
                        <w:bottom w:val="none" w:sz="0" w:space="0" w:color="auto"/>
                        <w:right w:val="none" w:sz="0" w:space="0" w:color="auto"/>
                      </w:divBdr>
                      <w:divsChild>
                        <w:div w:id="467599807">
                          <w:marLeft w:val="150"/>
                          <w:marRight w:val="150"/>
                          <w:marTop w:val="0"/>
                          <w:marBottom w:val="0"/>
                          <w:divBdr>
                            <w:top w:val="none" w:sz="0" w:space="0" w:color="auto"/>
                            <w:left w:val="none" w:sz="0" w:space="0" w:color="auto"/>
                            <w:bottom w:val="none" w:sz="0" w:space="0" w:color="auto"/>
                            <w:right w:val="none" w:sz="0" w:space="0" w:color="auto"/>
                          </w:divBdr>
                          <w:divsChild>
                            <w:div w:id="1749227906">
                              <w:marLeft w:val="0"/>
                              <w:marRight w:val="0"/>
                              <w:marTop w:val="0"/>
                              <w:marBottom w:val="0"/>
                              <w:divBdr>
                                <w:top w:val="none" w:sz="0" w:space="0" w:color="auto"/>
                                <w:left w:val="none" w:sz="0" w:space="0" w:color="auto"/>
                                <w:bottom w:val="none" w:sz="0" w:space="0" w:color="auto"/>
                                <w:right w:val="none" w:sz="0" w:space="0" w:color="auto"/>
                              </w:divBdr>
                              <w:divsChild>
                                <w:div w:id="795684862">
                                  <w:marLeft w:val="0"/>
                                  <w:marRight w:val="0"/>
                                  <w:marTop w:val="0"/>
                                  <w:marBottom w:val="150"/>
                                  <w:divBdr>
                                    <w:top w:val="none" w:sz="0" w:space="0" w:color="auto"/>
                                    <w:left w:val="none" w:sz="0" w:space="0" w:color="auto"/>
                                    <w:bottom w:val="none" w:sz="0" w:space="0" w:color="auto"/>
                                    <w:right w:val="none" w:sz="0" w:space="0" w:color="auto"/>
                                  </w:divBdr>
                                  <w:divsChild>
                                    <w:div w:id="396830247">
                                      <w:marLeft w:val="0"/>
                                      <w:marRight w:val="0"/>
                                      <w:marTop w:val="0"/>
                                      <w:marBottom w:val="0"/>
                                      <w:divBdr>
                                        <w:top w:val="none" w:sz="0" w:space="0" w:color="auto"/>
                                        <w:left w:val="none" w:sz="0" w:space="0" w:color="auto"/>
                                        <w:bottom w:val="none" w:sz="0" w:space="0" w:color="auto"/>
                                        <w:right w:val="none" w:sz="0" w:space="0" w:color="auto"/>
                                      </w:divBdr>
                                      <w:divsChild>
                                        <w:div w:id="2061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8304">
                                  <w:marLeft w:val="0"/>
                                  <w:marRight w:val="0"/>
                                  <w:marTop w:val="0"/>
                                  <w:marBottom w:val="150"/>
                                  <w:divBdr>
                                    <w:top w:val="none" w:sz="0" w:space="0" w:color="auto"/>
                                    <w:left w:val="none" w:sz="0" w:space="0" w:color="auto"/>
                                    <w:bottom w:val="none" w:sz="0" w:space="0" w:color="auto"/>
                                    <w:right w:val="none" w:sz="0" w:space="0" w:color="auto"/>
                                  </w:divBdr>
                                  <w:divsChild>
                                    <w:div w:id="1741514360">
                                      <w:marLeft w:val="0"/>
                                      <w:marRight w:val="0"/>
                                      <w:marTop w:val="0"/>
                                      <w:marBottom w:val="0"/>
                                      <w:divBdr>
                                        <w:top w:val="none" w:sz="0" w:space="0" w:color="auto"/>
                                        <w:left w:val="none" w:sz="0" w:space="0" w:color="auto"/>
                                        <w:bottom w:val="none" w:sz="0" w:space="0" w:color="auto"/>
                                        <w:right w:val="none" w:sz="0" w:space="0" w:color="auto"/>
                                      </w:divBdr>
                                      <w:divsChild>
                                        <w:div w:id="1255432715">
                                          <w:marLeft w:val="0"/>
                                          <w:marRight w:val="0"/>
                                          <w:marTop w:val="0"/>
                                          <w:marBottom w:val="0"/>
                                          <w:divBdr>
                                            <w:top w:val="none" w:sz="0" w:space="0" w:color="auto"/>
                                            <w:left w:val="none" w:sz="0" w:space="0" w:color="auto"/>
                                            <w:bottom w:val="none" w:sz="0" w:space="0" w:color="auto"/>
                                            <w:right w:val="none" w:sz="0" w:space="0" w:color="auto"/>
                                          </w:divBdr>
                                          <w:divsChild>
                                            <w:div w:id="1765152478">
                                              <w:marLeft w:val="0"/>
                                              <w:marRight w:val="0"/>
                                              <w:marTop w:val="0"/>
                                              <w:marBottom w:val="0"/>
                                              <w:divBdr>
                                                <w:top w:val="none" w:sz="0" w:space="0" w:color="auto"/>
                                                <w:left w:val="none" w:sz="0" w:space="0" w:color="auto"/>
                                                <w:bottom w:val="none" w:sz="0" w:space="0" w:color="auto"/>
                                                <w:right w:val="none" w:sz="0" w:space="0" w:color="auto"/>
                                              </w:divBdr>
                                              <w:divsChild>
                                                <w:div w:id="66264883">
                                                  <w:marLeft w:val="0"/>
                                                  <w:marRight w:val="0"/>
                                                  <w:marTop w:val="0"/>
                                                  <w:marBottom w:val="0"/>
                                                  <w:divBdr>
                                                    <w:top w:val="none" w:sz="0" w:space="0" w:color="auto"/>
                                                    <w:left w:val="none" w:sz="0" w:space="0" w:color="auto"/>
                                                    <w:bottom w:val="none" w:sz="0" w:space="0" w:color="auto"/>
                                                    <w:right w:val="none" w:sz="0" w:space="0" w:color="auto"/>
                                                  </w:divBdr>
                                                  <w:divsChild>
                                                    <w:div w:id="2111074261">
                                                      <w:marLeft w:val="0"/>
                                                      <w:marRight w:val="0"/>
                                                      <w:marTop w:val="0"/>
                                                      <w:marBottom w:val="0"/>
                                                      <w:divBdr>
                                                        <w:top w:val="none" w:sz="0" w:space="0" w:color="auto"/>
                                                        <w:left w:val="none" w:sz="0" w:space="0" w:color="auto"/>
                                                        <w:bottom w:val="none" w:sz="0" w:space="0" w:color="auto"/>
                                                        <w:right w:val="none" w:sz="0" w:space="0" w:color="auto"/>
                                                      </w:divBdr>
                                                      <w:divsChild>
                                                        <w:div w:id="1579439333">
                                                          <w:marLeft w:val="0"/>
                                                          <w:marRight w:val="0"/>
                                                          <w:marTop w:val="0"/>
                                                          <w:marBottom w:val="0"/>
                                                          <w:divBdr>
                                                            <w:top w:val="none" w:sz="0" w:space="0" w:color="auto"/>
                                                            <w:left w:val="none" w:sz="0" w:space="0" w:color="auto"/>
                                                            <w:bottom w:val="none" w:sz="0" w:space="0" w:color="auto"/>
                                                            <w:right w:val="none" w:sz="0" w:space="0" w:color="auto"/>
                                                          </w:divBdr>
                                                          <w:divsChild>
                                                            <w:div w:id="10626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149">
                                                      <w:marLeft w:val="0"/>
                                                      <w:marRight w:val="0"/>
                                                      <w:marTop w:val="0"/>
                                                      <w:marBottom w:val="0"/>
                                                      <w:divBdr>
                                                        <w:top w:val="none" w:sz="0" w:space="0" w:color="auto"/>
                                                        <w:left w:val="none" w:sz="0" w:space="0" w:color="auto"/>
                                                        <w:bottom w:val="none" w:sz="0" w:space="0" w:color="auto"/>
                                                        <w:right w:val="none" w:sz="0" w:space="0" w:color="auto"/>
                                                      </w:divBdr>
                                                      <w:divsChild>
                                                        <w:div w:id="1890991558">
                                                          <w:marLeft w:val="0"/>
                                                          <w:marRight w:val="0"/>
                                                          <w:marTop w:val="0"/>
                                                          <w:marBottom w:val="0"/>
                                                          <w:divBdr>
                                                            <w:top w:val="none" w:sz="0" w:space="0" w:color="auto"/>
                                                            <w:left w:val="none" w:sz="0" w:space="0" w:color="auto"/>
                                                            <w:bottom w:val="none" w:sz="0" w:space="0" w:color="auto"/>
                                                            <w:right w:val="none" w:sz="0" w:space="0" w:color="auto"/>
                                                          </w:divBdr>
                                                        </w:div>
                                                        <w:div w:id="401761881">
                                                          <w:marLeft w:val="0"/>
                                                          <w:marRight w:val="0"/>
                                                          <w:marTop w:val="0"/>
                                                          <w:marBottom w:val="0"/>
                                                          <w:divBdr>
                                                            <w:top w:val="none" w:sz="0" w:space="0" w:color="auto"/>
                                                            <w:left w:val="none" w:sz="0" w:space="0" w:color="auto"/>
                                                            <w:bottom w:val="none" w:sz="0" w:space="0" w:color="auto"/>
                                                            <w:right w:val="none" w:sz="0" w:space="0" w:color="auto"/>
                                                          </w:divBdr>
                                                          <w:divsChild>
                                                            <w:div w:id="1990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591">
                                                      <w:marLeft w:val="0"/>
                                                      <w:marRight w:val="0"/>
                                                      <w:marTop w:val="0"/>
                                                      <w:marBottom w:val="0"/>
                                                      <w:divBdr>
                                                        <w:top w:val="none" w:sz="0" w:space="0" w:color="auto"/>
                                                        <w:left w:val="none" w:sz="0" w:space="0" w:color="auto"/>
                                                        <w:bottom w:val="none" w:sz="0" w:space="0" w:color="auto"/>
                                                        <w:right w:val="none" w:sz="0" w:space="0" w:color="auto"/>
                                                      </w:divBdr>
                                                      <w:divsChild>
                                                        <w:div w:id="1767967098">
                                                          <w:marLeft w:val="0"/>
                                                          <w:marRight w:val="0"/>
                                                          <w:marTop w:val="0"/>
                                                          <w:marBottom w:val="0"/>
                                                          <w:divBdr>
                                                            <w:top w:val="none" w:sz="0" w:space="0" w:color="auto"/>
                                                            <w:left w:val="none" w:sz="0" w:space="0" w:color="auto"/>
                                                            <w:bottom w:val="none" w:sz="0" w:space="0" w:color="auto"/>
                                                            <w:right w:val="none" w:sz="0" w:space="0" w:color="auto"/>
                                                          </w:divBdr>
                                                          <w:divsChild>
                                                            <w:div w:id="100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7398">
                                                      <w:marLeft w:val="0"/>
                                                      <w:marRight w:val="0"/>
                                                      <w:marTop w:val="0"/>
                                                      <w:marBottom w:val="0"/>
                                                      <w:divBdr>
                                                        <w:top w:val="none" w:sz="0" w:space="0" w:color="auto"/>
                                                        <w:left w:val="none" w:sz="0" w:space="0" w:color="auto"/>
                                                        <w:bottom w:val="none" w:sz="0" w:space="0" w:color="auto"/>
                                                        <w:right w:val="none" w:sz="0" w:space="0" w:color="auto"/>
                                                      </w:divBdr>
                                                      <w:divsChild>
                                                        <w:div w:id="1275406297">
                                                          <w:marLeft w:val="0"/>
                                                          <w:marRight w:val="0"/>
                                                          <w:marTop w:val="0"/>
                                                          <w:marBottom w:val="0"/>
                                                          <w:divBdr>
                                                            <w:top w:val="none" w:sz="0" w:space="0" w:color="auto"/>
                                                            <w:left w:val="none" w:sz="0" w:space="0" w:color="auto"/>
                                                            <w:bottom w:val="none" w:sz="0" w:space="0" w:color="auto"/>
                                                            <w:right w:val="none" w:sz="0" w:space="0" w:color="auto"/>
                                                          </w:divBdr>
                                                          <w:divsChild>
                                                            <w:div w:id="1257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foundation.org/article/state-provisions-property-reassessment" TargetMode="External"/><Relationship Id="rId3" Type="http://schemas.openxmlformats.org/officeDocument/2006/relationships/settings" Target="settings.xml"/><Relationship Id="rId7" Type="http://schemas.openxmlformats.org/officeDocument/2006/relationships/hyperlink" Target="http://taxfoundation.org/sites/taxfoundation.org/files/docs/ff22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axfoundation.org/staff/justin-higginbott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 Provisions for Property Reassessment</vt:lpstr>
    </vt:vector>
  </TitlesOfParts>
  <Company>Toshiba</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2015-03-27T17:18:00Z</dcterms:created>
  <dcterms:modified xsi:type="dcterms:W3CDTF">2015-03-27T17:19:00Z</dcterms:modified>
</cp:coreProperties>
</file>