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CD77" w14:textId="01E45FE9" w:rsidR="00896697" w:rsidRDefault="00015F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01941" wp14:editId="6FFD1DB0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4846320" cy="91592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91592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270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6F794" w14:textId="69442CA5" w:rsidR="00015F68" w:rsidRDefault="00E0125E" w:rsidP="00015F68">
                            <w:pPr>
                              <w:pStyle w:val="NoSpacing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71B697" wp14:editId="57F052C5">
                                  <wp:extent cx="4654550" cy="1562100"/>
                                  <wp:effectExtent l="0" t="0" r="0" b="0"/>
                                  <wp:docPr id="135486219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486219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5455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002F05" w14:textId="4DF53F8C" w:rsidR="00015F68" w:rsidRDefault="00015F68" w:rsidP="00015F68">
                            <w:pPr>
                              <w:pStyle w:val="NoSpacing"/>
                              <w:rPr>
                                <w:rFonts w:ascii="Georgia" w:hAnsi="Georgia"/>
                              </w:rPr>
                            </w:pPr>
                          </w:p>
                          <w:p w14:paraId="67B1FB06" w14:textId="1ADD3C03" w:rsidR="00015F68" w:rsidRPr="009B5546" w:rsidRDefault="00E0125E" w:rsidP="00015F68">
                            <w:pPr>
                              <w:pStyle w:val="NoSpacing"/>
                              <w:rPr>
                                <w:rFonts w:ascii="Franklin Gothic Medium" w:hAnsi="Franklin Gothic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5546">
                              <w:rPr>
                                <w:rFonts w:ascii="Franklin Gothic Medium" w:hAnsi="Franklin Gothic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MICHIGAN COURT OF APPEALS </w:t>
                            </w:r>
                            <w:r w:rsidRPr="009B5546">
                              <w:rPr>
                                <w:rFonts w:ascii="Franklin Gothic Medium" w:hAnsi="Franklin Gothic Medium"/>
                                <w:b/>
                                <w:bCs/>
                                <w:sz w:val="28"/>
                                <w:szCs w:val="28"/>
                              </w:rPr>
                              <w:t>No. 349169</w:t>
                            </w:r>
                            <w:r w:rsidRPr="009B5546">
                              <w:rPr>
                                <w:rFonts w:ascii="Franklin Gothic Medium" w:hAnsi="Franklin Gothic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Feb. 21, 2021</w:t>
                            </w:r>
                          </w:p>
                          <w:p w14:paraId="74FBE509" w14:textId="77736D85" w:rsidR="009B5546" w:rsidRPr="009B5546" w:rsidRDefault="00E0125E" w:rsidP="00015F68">
                            <w:pPr>
                              <w:pStyle w:val="NoSpacing"/>
                              <w:rPr>
                                <w:rFonts w:ascii="Franklin Gothic Medium" w:hAnsi="Franklin Gothic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5546">
                              <w:rPr>
                                <w:rFonts w:ascii="Franklin Gothic Medium" w:hAnsi="Franklin Gothic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PEOPLE OF MI V. </w:t>
                            </w:r>
                            <w:r w:rsidRPr="009B5546">
                              <w:rPr>
                                <w:rFonts w:ascii="Franklin Gothic Medium" w:hAnsi="Franklin Gothic Medium"/>
                                <w:b/>
                                <w:bCs/>
                                <w:sz w:val="28"/>
                                <w:szCs w:val="28"/>
                              </w:rPr>
                              <w:t>THELONIOUS DESHANE-EAR SEARCY</w:t>
                            </w:r>
                          </w:p>
                          <w:p w14:paraId="0BAC7C89" w14:textId="77777777" w:rsidR="009B5546" w:rsidRPr="009B5546" w:rsidRDefault="009B5546" w:rsidP="009B5546">
                            <w:pPr>
                              <w:pStyle w:val="NoSpacing"/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6970784B" w14:textId="625FAE3E" w:rsidR="00E0125E" w:rsidRPr="006C095A" w:rsidRDefault="009B5546" w:rsidP="009B5546">
                            <w:pPr>
                              <w:pStyle w:val="NoSpacing"/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color w:val="C00000"/>
                              </w:rPr>
                            </w:pPr>
                            <w:r w:rsidRPr="006C095A">
                              <w:rPr>
                                <w:rFonts w:ascii="Franklin Gothic Medium" w:hAnsi="Franklin Gothic Medium"/>
                                <w:b/>
                                <w:bCs/>
                                <w:color w:val="C00000"/>
                              </w:rPr>
                              <w:t>Court found trial judge Timothy Kenny abused his discretion in finding Vincent Smothers’ testimony not credible</w:t>
                            </w:r>
                          </w:p>
                          <w:p w14:paraId="6792C316" w14:textId="77777777" w:rsidR="00E0125E" w:rsidRPr="00AD3C54" w:rsidRDefault="00E0125E" w:rsidP="00015F68">
                            <w:pPr>
                              <w:pStyle w:val="NoSpacing"/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26BCCA" w14:textId="462F0449" w:rsidR="00015F68" w:rsidRPr="009B5546" w:rsidRDefault="009B5546" w:rsidP="00015F68">
                            <w:pPr>
                              <w:pStyle w:val="NoSpacing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“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In sum, when considering the trial evidence in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light of the other evidence that would be presented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at retrial, we conclude that Searcy has a reasonably likely chance of acquittal.</w:t>
                            </w:r>
                            <w:r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5546">
                              <w:rPr>
                                <w:rFonts w:ascii="Georgia" w:hAnsi="Georgia"/>
                                <w:i/>
                                <w:iCs/>
                                <w:sz w:val="22"/>
                                <w:szCs w:val="22"/>
                              </w:rPr>
                              <w:t>MCR 6</w:t>
                            </w:r>
                            <w:r w:rsidR="00015F68" w:rsidRPr="009B5546">
                              <w:rPr>
                                <w:rFonts w:ascii="Georgia" w:hAnsi="Georgia"/>
                                <w:i/>
                                <w:iCs/>
                                <w:sz w:val="22"/>
                                <w:szCs w:val="22"/>
                              </w:rPr>
                              <w:t>.508(D)(3)(b)(</w:t>
                            </w:r>
                            <w:proofErr w:type="spellStart"/>
                            <w:r w:rsidR="00015F68" w:rsidRPr="009B5546">
                              <w:rPr>
                                <w:rFonts w:ascii="Georgia" w:hAnsi="Georgia"/>
                                <w:i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="00015F68" w:rsidRPr="009B5546">
                              <w:rPr>
                                <w:rFonts w:ascii="Georgia" w:hAnsi="Georgia"/>
                                <w:i/>
                                <w:iCs/>
                                <w:sz w:val="22"/>
                                <w:szCs w:val="22"/>
                              </w:rPr>
                              <w:t>)(A)</w:t>
                            </w:r>
                            <w:r w:rsidRPr="009B5546">
                              <w:rPr>
                                <w:rFonts w:ascii="Georgia" w:hAnsi="Georgi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Therefore, the trial court abused its discretion by denying Searcy’s motion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for relief from judgment with respect to Searcy’s claim of new evidence relating to Smothers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.</w:t>
                            </w:r>
                            <w:r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54768D1D" w14:textId="77777777" w:rsidR="00015F68" w:rsidRPr="00AD3C54" w:rsidRDefault="00015F68" w:rsidP="00015F68">
                            <w:pPr>
                              <w:pStyle w:val="NoSpacing"/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1DAB64" w14:textId="65CF98F8" w:rsidR="00015F68" w:rsidRPr="009B5546" w:rsidRDefault="00AD3C54" w:rsidP="00015F68">
                            <w:pPr>
                              <w:pStyle w:val="NoSpacing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“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On the first day of the hearing, Smothers testified that he murdered the murder victim on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Conner Street “[n]ear the Detroit City Airport” on what he believed was September 6, 2004.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Smothers noted that, although he initially intended to rob the murder victim, he decided to kill him “[a]s [he] got up to the back of the car.” Smothers testified in detail about the manner in which he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and Daniels carried out the crimes and the manner in which they escaped from the scene. Smothers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indicated that he decided to come forward when he learned that “somebody was locked up for” the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September 2004 crimes. Smothers denied that he was promised anything in exchange for his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testimony. Smothers also denied that he had “nothing to lose,” noting that he could be paroled in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his lifetime</w:t>
                            </w:r>
                          </w:p>
                          <w:p w14:paraId="0D44C1D8" w14:textId="77777777" w:rsidR="00015F68" w:rsidRPr="00AD3C54" w:rsidRDefault="00015F68" w:rsidP="00015F68">
                            <w:pPr>
                              <w:pStyle w:val="NoSpacing"/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</w:p>
                          <w:p w14:paraId="20E48313" w14:textId="3D0EE367" w:rsidR="00015F68" w:rsidRPr="009B5546" w:rsidRDefault="00AD3C54" w:rsidP="00015F68">
                            <w:pPr>
                              <w:pStyle w:val="NoSpacing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“</w:t>
                            </w:r>
                            <w:r w:rsidR="009B5546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. . .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Smothers provided detailed testimony concerning the location of the crimes,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the manner in which the crimes were carried out, and the weapons that were used. Smothers’s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testimony that he approached the Corvette from behind and then began shooting is consistent with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eyewitness testimony. The physical evidence also supports </w:t>
                            </w:r>
                            <w:r w:rsidR="009B5546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[his]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testimony that he moved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toward the driver’s side window, where he fired his gun once. Importantly, a bullet hole was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located in “the side panel on the driver’s side,” and there were at least seven bullet holes in the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Corvette. Furthermore, Dr. Schmidt testified at trial that there were gunshots to the back of the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murder victim’s body, including one gunshot to the back of the head, and that the trajectory of the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other shots “went from left to the right.”</w:t>
                            </w:r>
                          </w:p>
                          <w:p w14:paraId="79853D26" w14:textId="77777777" w:rsidR="00015F68" w:rsidRPr="00AD3C54" w:rsidRDefault="00015F68" w:rsidP="00015F68">
                            <w:pPr>
                              <w:pStyle w:val="NoSpacing"/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</w:p>
                          <w:p w14:paraId="5CCB1C41" w14:textId="7F2E50A2" w:rsidR="00015F68" w:rsidRPr="00CA6CBA" w:rsidRDefault="00AD3C54" w:rsidP="00015F68">
                            <w:pPr>
                              <w:pStyle w:val="NoSpacing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“. . .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Smothers testified at the hearing that the .40-caliber and .45-caliber handguns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belonged to him and  that he gave them to Daniels and told him to get rid of them.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. . .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Smothers testified that Daniels was his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9B554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“associate[]” and that he had known Daniel</w:t>
                            </w:r>
                            <w:r w:rsidR="00015F68" w:rsidRPr="00CA6CBA">
                              <w:rPr>
                                <w:rFonts w:ascii="Georgia" w:hAnsi="Georgia"/>
                              </w:rPr>
                              <w:t xml:space="preserve">s for “several years.” </w:t>
                            </w:r>
                            <w:r w:rsidR="00015F68" w:rsidRPr="00AD3C5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Smothers also testified that he</w:t>
                            </w:r>
                            <w:r w:rsidR="00015F68" w:rsidRPr="00AD3C5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AD3C5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often gave murder weapons to others to keep because Smothers lived in “the suburbs.”</w:t>
                            </w:r>
                            <w:r w:rsidR="009B5546" w:rsidRPr="00AD3C5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AD3C5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Importantly, Searcy’s grandmother testified at trial that the .45-caliber gun that was associated</w:t>
                            </w:r>
                            <w:r w:rsidR="00015F68" w:rsidRPr="00AD3C5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68" w:rsidRPr="00AD3C5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with some of the casings found at the crime scene was brought into her apartment by Daniels</w:t>
                            </w:r>
                            <w:r w:rsidR="00015F68" w:rsidRPr="00CA6CBA">
                              <w:rPr>
                                <w:rFonts w:ascii="Georgia" w:hAnsi="Georgia"/>
                              </w:rPr>
                              <w:t>.</w:t>
                            </w:r>
                            <w:r>
                              <w:rPr>
                                <w:rFonts w:ascii="Georgia" w:hAnsi="Georgia"/>
                              </w:rPr>
                              <w:t>”</w:t>
                            </w:r>
                          </w:p>
                          <w:p w14:paraId="5447BFDF" w14:textId="5D640D37" w:rsidR="00015F68" w:rsidRDefault="00015F68"/>
                          <w:p w14:paraId="3F391810" w14:textId="77777777" w:rsidR="00015F68" w:rsidRDefault="00015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01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4pt;margin-top:0;width:381.6pt;height:72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" fillcolor="#dceaf7 [351]" strokecolor="#4e95d9 [1631]" strokeweight="1pt">
                <v:textbox>
                  <w:txbxContent>
                    <w:p w14:paraId="5D86F794" w14:textId="69442CA5" w:rsidR="00015F68" w:rsidRDefault="00E0125E" w:rsidP="00015F68">
                      <w:pPr>
                        <w:pStyle w:val="NoSpacing"/>
                        <w:rPr>
                          <w:rFonts w:ascii="Georgia" w:hAnsi="Georg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71B697" wp14:editId="57F052C5">
                            <wp:extent cx="4654550" cy="1562100"/>
                            <wp:effectExtent l="0" t="0" r="0" b="0"/>
                            <wp:docPr id="135486219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486219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54550" cy="1562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002F05" w14:textId="4DF53F8C" w:rsidR="00015F68" w:rsidRDefault="00015F68" w:rsidP="00015F68">
                      <w:pPr>
                        <w:pStyle w:val="NoSpacing"/>
                        <w:rPr>
                          <w:rFonts w:ascii="Georgia" w:hAnsi="Georgia"/>
                        </w:rPr>
                      </w:pPr>
                    </w:p>
                    <w:p w14:paraId="67B1FB06" w14:textId="1ADD3C03" w:rsidR="00015F68" w:rsidRPr="009B5546" w:rsidRDefault="00E0125E" w:rsidP="00015F68">
                      <w:pPr>
                        <w:pStyle w:val="NoSpacing"/>
                        <w:rPr>
                          <w:rFonts w:ascii="Franklin Gothic Medium" w:hAnsi="Franklin Gothic Medium"/>
                          <w:b/>
                          <w:bCs/>
                          <w:sz w:val="28"/>
                          <w:szCs w:val="28"/>
                        </w:rPr>
                      </w:pPr>
                      <w:r w:rsidRPr="009B5546">
                        <w:rPr>
                          <w:rFonts w:ascii="Franklin Gothic Medium" w:hAnsi="Franklin Gothic Medium"/>
                          <w:b/>
                          <w:bCs/>
                          <w:sz w:val="28"/>
                          <w:szCs w:val="28"/>
                        </w:rPr>
                        <w:t xml:space="preserve">MICHIGAN COURT OF APPEALS </w:t>
                      </w:r>
                      <w:r w:rsidRPr="009B5546">
                        <w:rPr>
                          <w:rFonts w:ascii="Franklin Gothic Medium" w:hAnsi="Franklin Gothic Medium"/>
                          <w:b/>
                          <w:bCs/>
                          <w:sz w:val="28"/>
                          <w:szCs w:val="28"/>
                        </w:rPr>
                        <w:t>No. 349169</w:t>
                      </w:r>
                      <w:r w:rsidRPr="009B5546">
                        <w:rPr>
                          <w:rFonts w:ascii="Franklin Gothic Medium" w:hAnsi="Franklin Gothic Medium"/>
                          <w:b/>
                          <w:bCs/>
                          <w:sz w:val="28"/>
                          <w:szCs w:val="28"/>
                        </w:rPr>
                        <w:t xml:space="preserve"> Feb. 21, 2021</w:t>
                      </w:r>
                    </w:p>
                    <w:p w14:paraId="74FBE509" w14:textId="77736D85" w:rsidR="009B5546" w:rsidRPr="009B5546" w:rsidRDefault="00E0125E" w:rsidP="00015F68">
                      <w:pPr>
                        <w:pStyle w:val="NoSpacing"/>
                        <w:rPr>
                          <w:rFonts w:ascii="Franklin Gothic Medium" w:hAnsi="Franklin Gothic Medium"/>
                          <w:b/>
                          <w:bCs/>
                          <w:sz w:val="28"/>
                          <w:szCs w:val="28"/>
                        </w:rPr>
                      </w:pPr>
                      <w:r w:rsidRPr="009B5546">
                        <w:rPr>
                          <w:rFonts w:ascii="Franklin Gothic Medium" w:hAnsi="Franklin Gothic Medium"/>
                          <w:b/>
                          <w:bCs/>
                          <w:sz w:val="28"/>
                          <w:szCs w:val="28"/>
                        </w:rPr>
                        <w:t xml:space="preserve">  PEOPLE OF MI V. </w:t>
                      </w:r>
                      <w:r w:rsidRPr="009B5546">
                        <w:rPr>
                          <w:rFonts w:ascii="Franklin Gothic Medium" w:hAnsi="Franklin Gothic Medium"/>
                          <w:b/>
                          <w:bCs/>
                          <w:sz w:val="28"/>
                          <w:szCs w:val="28"/>
                        </w:rPr>
                        <w:t>THELONIOUS DESHANE-EAR SEARCY</w:t>
                      </w:r>
                    </w:p>
                    <w:p w14:paraId="0BAC7C89" w14:textId="77777777" w:rsidR="009B5546" w:rsidRPr="009B5546" w:rsidRDefault="009B5546" w:rsidP="009B5546">
                      <w:pPr>
                        <w:pStyle w:val="NoSpacing"/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  <w:p w14:paraId="6970784B" w14:textId="625FAE3E" w:rsidR="00E0125E" w:rsidRPr="006C095A" w:rsidRDefault="009B5546" w:rsidP="009B5546">
                      <w:pPr>
                        <w:pStyle w:val="NoSpacing"/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color w:val="C00000"/>
                        </w:rPr>
                      </w:pPr>
                      <w:r w:rsidRPr="006C095A">
                        <w:rPr>
                          <w:rFonts w:ascii="Franklin Gothic Medium" w:hAnsi="Franklin Gothic Medium"/>
                          <w:b/>
                          <w:bCs/>
                          <w:color w:val="C00000"/>
                        </w:rPr>
                        <w:t>Court found trial judge Timothy Kenny abused his discretion in finding Vincent Smothers’ testimony not credible</w:t>
                      </w:r>
                    </w:p>
                    <w:p w14:paraId="6792C316" w14:textId="77777777" w:rsidR="00E0125E" w:rsidRPr="00AD3C54" w:rsidRDefault="00E0125E" w:rsidP="00015F68">
                      <w:pPr>
                        <w:pStyle w:val="NoSpacing"/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026BCCA" w14:textId="462F0449" w:rsidR="00015F68" w:rsidRPr="009B5546" w:rsidRDefault="009B5546" w:rsidP="00015F68">
                      <w:pPr>
                        <w:pStyle w:val="NoSpacing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“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In sum, when considering the trial evidence in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light of the other evidence that would be presented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at retrial, we conclude that Searcy has a reasonably likely chance of acquittal.</w:t>
                      </w:r>
                      <w:r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Pr="009B5546">
                        <w:rPr>
                          <w:rFonts w:ascii="Georgia" w:hAnsi="Georgia"/>
                          <w:i/>
                          <w:iCs/>
                          <w:sz w:val="22"/>
                          <w:szCs w:val="22"/>
                        </w:rPr>
                        <w:t>MCR 6</w:t>
                      </w:r>
                      <w:r w:rsidR="00015F68" w:rsidRPr="009B5546">
                        <w:rPr>
                          <w:rFonts w:ascii="Georgia" w:hAnsi="Georgia"/>
                          <w:i/>
                          <w:iCs/>
                          <w:sz w:val="22"/>
                          <w:szCs w:val="22"/>
                        </w:rPr>
                        <w:t>.508(D)(3)(b)(</w:t>
                      </w:r>
                      <w:proofErr w:type="spellStart"/>
                      <w:r w:rsidR="00015F68" w:rsidRPr="009B5546">
                        <w:rPr>
                          <w:rFonts w:ascii="Georgia" w:hAnsi="Georgia"/>
                          <w:i/>
                          <w:iCs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="00015F68" w:rsidRPr="009B5546">
                        <w:rPr>
                          <w:rFonts w:ascii="Georgia" w:hAnsi="Georgia"/>
                          <w:i/>
                          <w:iCs/>
                          <w:sz w:val="22"/>
                          <w:szCs w:val="22"/>
                        </w:rPr>
                        <w:t>)(A)</w:t>
                      </w:r>
                      <w:r w:rsidRPr="009B5546">
                        <w:rPr>
                          <w:rFonts w:ascii="Georgia" w:hAnsi="Georgia"/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Therefore, the trial court abused its discretion by denying Searcy’s motion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for relief from judgment with respect to Searcy’s claim of new evidence relating to Smothers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.</w:t>
                      </w:r>
                      <w:r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”</w:t>
                      </w:r>
                    </w:p>
                    <w:p w14:paraId="54768D1D" w14:textId="77777777" w:rsidR="00015F68" w:rsidRPr="00AD3C54" w:rsidRDefault="00015F68" w:rsidP="00015F68">
                      <w:pPr>
                        <w:pStyle w:val="NoSpacing"/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01DAB64" w14:textId="65CF98F8" w:rsidR="00015F68" w:rsidRPr="009B5546" w:rsidRDefault="00AD3C54" w:rsidP="00015F68">
                      <w:pPr>
                        <w:pStyle w:val="NoSpacing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“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On the first day of the hearing, Smothers testified that he murdered the murder victim on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Conner Street “[n]ear the Detroit City Airport” on what he believed was September 6, 2004.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Smothers noted that, although he initially intended to rob the murder victim, he decided to kill him “[a]s [he] got up to the back of the car.” Smothers testified in detail about the manner in which he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and Daniels carried out the crimes and the manner in which they escaped from the scene. Smothers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indicated that he decided to come forward when he learned that “somebody was locked up for” the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September 2004 crimes. Smothers denied that he was promised anything in exchange for his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testimony. Smothers also denied that he had “nothing to lose,” noting that he could be paroled in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his lifetime</w:t>
                      </w:r>
                    </w:p>
                    <w:p w14:paraId="0D44C1D8" w14:textId="77777777" w:rsidR="00015F68" w:rsidRPr="00AD3C54" w:rsidRDefault="00015F68" w:rsidP="00015F68">
                      <w:pPr>
                        <w:pStyle w:val="NoSpacing"/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</w:p>
                    <w:p w14:paraId="20E48313" w14:textId="3D0EE367" w:rsidR="00015F68" w:rsidRPr="009B5546" w:rsidRDefault="00AD3C54" w:rsidP="00015F68">
                      <w:pPr>
                        <w:pStyle w:val="NoSpacing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“</w:t>
                      </w:r>
                      <w:r w:rsidR="009B5546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. . .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Smothers provided detailed testimony concerning the location of the crimes,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the manner in which the crimes were carried out, and the weapons that were used. Smothers’s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testimony that he approached the Corvette from behind and then began shooting is consistent with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eyewitness testimony. The physical evidence also supports </w:t>
                      </w:r>
                      <w:r w:rsidR="009B5546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[his]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testimony that he moved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toward the driver’s side window, where he fired his gun once. Importantly, a bullet hole was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located in “the side panel on the driver’s side,” and there were at least seven bullet holes in the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Corvette. Furthermore, Dr. Schmidt testified at trial that there were gunshots to the back of the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murder victim’s body, including one gunshot to the back of the head, and that the trajectory of the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other shots “went from left to the right.”</w:t>
                      </w:r>
                    </w:p>
                    <w:p w14:paraId="79853D26" w14:textId="77777777" w:rsidR="00015F68" w:rsidRPr="00AD3C54" w:rsidRDefault="00015F68" w:rsidP="00015F68">
                      <w:pPr>
                        <w:pStyle w:val="NoSpacing"/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</w:p>
                    <w:p w14:paraId="5CCB1C41" w14:textId="7F2E50A2" w:rsidR="00015F68" w:rsidRPr="00CA6CBA" w:rsidRDefault="00AD3C54" w:rsidP="00015F68">
                      <w:pPr>
                        <w:pStyle w:val="NoSpacing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“. . .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Smothers testified at the hearing that the .40-caliber and .45-caliber handguns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belonged to him and  that he gave them to Daniels and told him to get rid of them.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. . .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Smothers testified that Daniels was his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9B5546">
                        <w:rPr>
                          <w:rFonts w:ascii="Georgia" w:hAnsi="Georgia"/>
                          <w:sz w:val="22"/>
                          <w:szCs w:val="22"/>
                        </w:rPr>
                        <w:t>“associate[]” and that he had known Daniel</w:t>
                      </w:r>
                      <w:r w:rsidR="00015F68" w:rsidRPr="00CA6CBA">
                        <w:rPr>
                          <w:rFonts w:ascii="Georgia" w:hAnsi="Georgia"/>
                        </w:rPr>
                        <w:t xml:space="preserve">s for “several years.” </w:t>
                      </w:r>
                      <w:r w:rsidR="00015F68" w:rsidRPr="00AD3C54">
                        <w:rPr>
                          <w:rFonts w:ascii="Georgia" w:hAnsi="Georgia"/>
                          <w:sz w:val="22"/>
                          <w:szCs w:val="22"/>
                        </w:rPr>
                        <w:t>Smothers also testified that he</w:t>
                      </w:r>
                      <w:r w:rsidR="00015F68" w:rsidRPr="00AD3C54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AD3C54">
                        <w:rPr>
                          <w:rFonts w:ascii="Georgia" w:hAnsi="Georgia"/>
                          <w:sz w:val="22"/>
                          <w:szCs w:val="22"/>
                        </w:rPr>
                        <w:t>often gave murder weapons to others to keep because Smothers lived in “the suburbs.”</w:t>
                      </w:r>
                      <w:r w:rsidR="009B5546" w:rsidRPr="00AD3C54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AD3C54">
                        <w:rPr>
                          <w:rFonts w:ascii="Georgia" w:hAnsi="Georgia"/>
                          <w:sz w:val="22"/>
                          <w:szCs w:val="22"/>
                        </w:rPr>
                        <w:t>Importantly, Searcy’s grandmother testified at trial that the .45-caliber gun that was associated</w:t>
                      </w:r>
                      <w:r w:rsidR="00015F68" w:rsidRPr="00AD3C54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015F68" w:rsidRPr="00AD3C54">
                        <w:rPr>
                          <w:rFonts w:ascii="Georgia" w:hAnsi="Georgia"/>
                          <w:sz w:val="22"/>
                          <w:szCs w:val="22"/>
                        </w:rPr>
                        <w:t>with some of the casings found at the crime scene was brought into her apartment by Daniels</w:t>
                      </w:r>
                      <w:r w:rsidR="00015F68" w:rsidRPr="00CA6CBA">
                        <w:rPr>
                          <w:rFonts w:ascii="Georgia" w:hAnsi="Georgia"/>
                        </w:rPr>
                        <w:t>.</w:t>
                      </w:r>
                      <w:r>
                        <w:rPr>
                          <w:rFonts w:ascii="Georgia" w:hAnsi="Georgia"/>
                        </w:rPr>
                        <w:t>”</w:t>
                      </w:r>
                    </w:p>
                    <w:p w14:paraId="5447BFDF" w14:textId="5D640D37" w:rsidR="00015F68" w:rsidRDefault="00015F68"/>
                    <w:p w14:paraId="3F391810" w14:textId="77777777" w:rsidR="00015F68" w:rsidRDefault="00015F68"/>
                  </w:txbxContent>
                </v:textbox>
                <w10:wrap type="square"/>
              </v:shape>
            </w:pict>
          </mc:Fallback>
        </mc:AlternateContent>
      </w:r>
    </w:p>
    <w:sectPr w:rsidR="00896697" w:rsidSect="00015F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68"/>
    <w:rsid w:val="00015F68"/>
    <w:rsid w:val="000F552E"/>
    <w:rsid w:val="0013473E"/>
    <w:rsid w:val="00193582"/>
    <w:rsid w:val="00277056"/>
    <w:rsid w:val="006C095A"/>
    <w:rsid w:val="006F3952"/>
    <w:rsid w:val="00896697"/>
    <w:rsid w:val="00910D15"/>
    <w:rsid w:val="009B5546"/>
    <w:rsid w:val="00AD3C54"/>
    <w:rsid w:val="00B775F8"/>
    <w:rsid w:val="00E0125E"/>
    <w:rsid w:val="00F0734D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C225"/>
  <w15:chartTrackingRefBased/>
  <w15:docId w15:val="{6521D850-154A-4361-BA4C-8FA4F5C6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5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Bukowski</dc:creator>
  <cp:keywords/>
  <dc:description/>
  <cp:lastModifiedBy>Diane Bukowski</cp:lastModifiedBy>
  <cp:revision>3</cp:revision>
  <dcterms:created xsi:type="dcterms:W3CDTF">2026-05-25T21:03:00Z</dcterms:created>
  <dcterms:modified xsi:type="dcterms:W3CDTF">2026-05-25T22:13:00Z</dcterms:modified>
</cp:coreProperties>
</file>